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55"/>
        <w:gridCol w:w="538"/>
        <w:gridCol w:w="4994"/>
        <w:gridCol w:w="2392"/>
      </w:tblGrid>
      <w:tr w:rsidR="00D74514" w:rsidRPr="007C15F5" w14:paraId="6105EF28" w14:textId="77777777" w:rsidTr="00C33EEE">
        <w:trPr>
          <w:cantSplit/>
          <w:trHeight w:val="864"/>
        </w:trPr>
        <w:tc>
          <w:tcPr>
            <w:tcW w:w="6887" w:type="dxa"/>
            <w:gridSpan w:val="3"/>
          </w:tcPr>
          <w:p w14:paraId="5BEA8322" w14:textId="7CA09A12" w:rsidR="00D74514" w:rsidRPr="007C15F5" w:rsidRDefault="0003269F" w:rsidP="00C33EEE">
            <w:pPr>
              <w:pStyle w:val="conservationmeasuretitle1"/>
            </w:pPr>
            <w:bookmarkStart w:id="0" w:name="_Toc435711223"/>
            <w:r w:rsidRPr="007C15F5">
              <w:rPr>
                <w:caps w:val="0"/>
              </w:rPr>
              <w:t xml:space="preserve">Conservation Measure </w:t>
            </w:r>
            <w:r w:rsidR="00D74514" w:rsidRPr="007C15F5">
              <w:t>41-09 (</w:t>
            </w:r>
            <w:del w:id="1" w:author="Stephane Thanassekos" w:date="2018-11-01T13:29:00Z">
              <w:r w:rsidR="00D74514" w:rsidRPr="007C15F5" w:rsidDel="00492372">
                <w:delText>201</w:delText>
              </w:r>
              <w:r w:rsidR="00783126" w:rsidDel="00492372">
                <w:delText>7</w:delText>
              </w:r>
            </w:del>
            <w:ins w:id="2" w:author="Stephane Thanassekos" w:date="2018-11-01T13:29:00Z">
              <w:r w:rsidR="00492372" w:rsidRPr="007C15F5">
                <w:t>201</w:t>
              </w:r>
              <w:r w:rsidR="00492372">
                <w:t>8</w:t>
              </w:r>
            </w:ins>
            <w:r w:rsidR="00D74514" w:rsidRPr="007C15F5">
              <w:t>)</w:t>
            </w:r>
            <w:bookmarkEnd w:id="0"/>
          </w:p>
          <w:p w14:paraId="4EB5A450" w14:textId="480C1769" w:rsidR="00D74514" w:rsidRPr="007C15F5" w:rsidRDefault="00D74514" w:rsidP="00492372">
            <w:pPr>
              <w:pStyle w:val="conservationmeasuretitle1"/>
              <w:rPr>
                <w:caps w:val="0"/>
              </w:rPr>
            </w:pPr>
            <w:bookmarkStart w:id="3" w:name="_Toc435711224"/>
            <w:r w:rsidRPr="007C15F5">
              <w:rPr>
                <w:caps w:val="0"/>
              </w:rPr>
              <w:t xml:space="preserve">Limits on the exploratory fishery for </w:t>
            </w:r>
            <w:r w:rsidRPr="007C15F5">
              <w:rPr>
                <w:i/>
                <w:caps w:val="0"/>
              </w:rPr>
              <w:t>Dissostichus mawsoni</w:t>
            </w:r>
            <w:r w:rsidRPr="007C15F5">
              <w:rPr>
                <w:caps w:val="0"/>
              </w:rPr>
              <w:t xml:space="preserve"> </w:t>
            </w:r>
            <w:r w:rsidRPr="007C15F5">
              <w:rPr>
                <w:caps w:val="0"/>
              </w:rPr>
              <w:br/>
              <w:t xml:space="preserve">in Statistical Subarea 88.1 in the </w:t>
            </w:r>
            <w:del w:id="4" w:author="Stephane Thanassekos" w:date="2018-11-01T13:29:00Z">
              <w:r w:rsidRPr="007C15F5" w:rsidDel="00492372">
                <w:rPr>
                  <w:caps w:val="0"/>
                </w:rPr>
                <w:delText>201</w:delText>
              </w:r>
              <w:r w:rsidR="00783126" w:rsidDel="00492372">
                <w:rPr>
                  <w:caps w:val="0"/>
                </w:rPr>
                <w:delText>7</w:delText>
              </w:r>
            </w:del>
            <w:ins w:id="5" w:author="Stephane Thanassekos" w:date="2018-11-01T13:29:00Z">
              <w:r w:rsidR="00492372" w:rsidRPr="007C15F5">
                <w:rPr>
                  <w:caps w:val="0"/>
                </w:rPr>
                <w:t>201</w:t>
              </w:r>
              <w:r w:rsidR="00492372">
                <w:rPr>
                  <w:caps w:val="0"/>
                </w:rPr>
                <w:t>8</w:t>
              </w:r>
            </w:ins>
            <w:r w:rsidRPr="007C15F5">
              <w:rPr>
                <w:caps w:val="0"/>
              </w:rPr>
              <w:t>/</w:t>
            </w:r>
            <w:del w:id="6" w:author="Stephane Thanassekos" w:date="2018-11-01T13:29:00Z">
              <w:r w:rsidRPr="007C15F5" w:rsidDel="00492372">
                <w:rPr>
                  <w:caps w:val="0"/>
                </w:rPr>
                <w:delText>1</w:delText>
              </w:r>
              <w:r w:rsidR="00783126" w:rsidDel="00492372">
                <w:rPr>
                  <w:caps w:val="0"/>
                </w:rPr>
                <w:delText>8</w:delText>
              </w:r>
              <w:r w:rsidRPr="007C15F5" w:rsidDel="00492372">
                <w:rPr>
                  <w:caps w:val="0"/>
                </w:rPr>
                <w:delText xml:space="preserve"> </w:delText>
              </w:r>
            </w:del>
            <w:ins w:id="7" w:author="Stephane Thanassekos" w:date="2018-11-01T13:29:00Z">
              <w:r w:rsidR="00492372" w:rsidRPr="007C15F5">
                <w:rPr>
                  <w:caps w:val="0"/>
                </w:rPr>
                <w:t>1</w:t>
              </w:r>
              <w:r w:rsidR="00492372">
                <w:rPr>
                  <w:caps w:val="0"/>
                </w:rPr>
                <w:t>9</w:t>
              </w:r>
              <w:r w:rsidR="00492372" w:rsidRPr="007C15F5">
                <w:rPr>
                  <w:caps w:val="0"/>
                </w:rPr>
                <w:t xml:space="preserve"> </w:t>
              </w:r>
            </w:ins>
            <w:r w:rsidRPr="007C15F5">
              <w:rPr>
                <w:caps w:val="0"/>
              </w:rPr>
              <w:t>season</w:t>
            </w:r>
            <w:bookmarkEnd w:id="3"/>
          </w:p>
        </w:tc>
        <w:tc>
          <w:tcPr>
            <w:tcW w:w="2392"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D74514" w:rsidRPr="007C15F5" w14:paraId="68C72DC4" w14:textId="77777777" w:rsidTr="00C33EEE">
              <w:trPr>
                <w:cantSplit/>
              </w:trPr>
              <w:tc>
                <w:tcPr>
                  <w:tcW w:w="1985" w:type="dxa"/>
                </w:tcPr>
                <w:p w14:paraId="296D7FA9" w14:textId="77777777" w:rsidR="00D74514" w:rsidRPr="007C15F5" w:rsidRDefault="00D74514" w:rsidP="00C33EEE">
                  <w:pPr>
                    <w:pStyle w:val="circ"/>
                    <w:tabs>
                      <w:tab w:val="clear" w:pos="5100"/>
                      <w:tab w:val="right" w:pos="1748"/>
                    </w:tabs>
                    <w:spacing w:line="200" w:lineRule="atLeast"/>
                    <w:rPr>
                      <w:sz w:val="20"/>
                    </w:rPr>
                  </w:pPr>
                  <w:r w:rsidRPr="007C15F5">
                    <w:rPr>
                      <w:sz w:val="20"/>
                    </w:rPr>
                    <w:t>Species</w:t>
                  </w:r>
                  <w:r w:rsidRPr="007C15F5">
                    <w:rPr>
                      <w:sz w:val="20"/>
                    </w:rPr>
                    <w:tab/>
                    <w:t>toothfish</w:t>
                  </w:r>
                </w:p>
              </w:tc>
            </w:tr>
            <w:tr w:rsidR="00D74514" w:rsidRPr="007C15F5" w14:paraId="22CC9248" w14:textId="77777777" w:rsidTr="00C33EEE">
              <w:trPr>
                <w:cantSplit/>
              </w:trPr>
              <w:tc>
                <w:tcPr>
                  <w:tcW w:w="1985" w:type="dxa"/>
                </w:tcPr>
                <w:p w14:paraId="3C339AF6" w14:textId="77777777" w:rsidR="00D74514" w:rsidRPr="007C15F5" w:rsidRDefault="00D74514" w:rsidP="00C33EEE">
                  <w:pPr>
                    <w:pStyle w:val="Footer"/>
                    <w:tabs>
                      <w:tab w:val="right" w:pos="1748"/>
                    </w:tabs>
                    <w:spacing w:line="200" w:lineRule="atLeast"/>
                  </w:pPr>
                  <w:r w:rsidRPr="007C15F5">
                    <w:t>Area</w:t>
                  </w:r>
                  <w:r w:rsidRPr="007C15F5">
                    <w:tab/>
                    <w:t>88.1</w:t>
                  </w:r>
                </w:p>
              </w:tc>
            </w:tr>
            <w:tr w:rsidR="00D74514" w:rsidRPr="007C15F5" w14:paraId="38D1F5F2" w14:textId="77777777" w:rsidTr="00C33EEE">
              <w:trPr>
                <w:cantSplit/>
              </w:trPr>
              <w:tc>
                <w:tcPr>
                  <w:tcW w:w="1985" w:type="dxa"/>
                </w:tcPr>
                <w:p w14:paraId="1D148F80" w14:textId="4213B413" w:rsidR="00D74514" w:rsidRPr="007C15F5" w:rsidRDefault="00D74514" w:rsidP="00492372">
                  <w:pPr>
                    <w:pStyle w:val="Footer"/>
                    <w:tabs>
                      <w:tab w:val="right" w:pos="1748"/>
                    </w:tabs>
                    <w:spacing w:line="200" w:lineRule="atLeast"/>
                    <w:rPr>
                      <w:caps/>
                    </w:rPr>
                  </w:pPr>
                  <w:r w:rsidRPr="007C15F5">
                    <w:t>Season</w:t>
                  </w:r>
                  <w:r w:rsidRPr="007C15F5">
                    <w:tab/>
                  </w:r>
                  <w:del w:id="8" w:author="Stephane Thanassekos" w:date="2018-11-01T13:29:00Z">
                    <w:r w:rsidRPr="007C15F5" w:rsidDel="00492372">
                      <w:delText>201</w:delText>
                    </w:r>
                    <w:r w:rsidR="00783126" w:rsidDel="00492372">
                      <w:delText>7</w:delText>
                    </w:r>
                  </w:del>
                  <w:ins w:id="9" w:author="Stephane Thanassekos" w:date="2018-11-01T13:29:00Z">
                    <w:r w:rsidR="00492372" w:rsidRPr="007C15F5">
                      <w:t>201</w:t>
                    </w:r>
                    <w:r w:rsidR="00492372">
                      <w:t>8</w:t>
                    </w:r>
                  </w:ins>
                  <w:r w:rsidRPr="007C15F5">
                    <w:t>/</w:t>
                  </w:r>
                  <w:del w:id="10" w:author="Stephane Thanassekos" w:date="2018-11-01T13:29:00Z">
                    <w:r w:rsidRPr="007C15F5" w:rsidDel="00492372">
                      <w:delText>1</w:delText>
                    </w:r>
                    <w:r w:rsidR="00783126" w:rsidDel="00492372">
                      <w:delText>8</w:delText>
                    </w:r>
                  </w:del>
                  <w:ins w:id="11" w:author="Stephane Thanassekos" w:date="2018-11-01T13:29:00Z">
                    <w:r w:rsidR="00492372" w:rsidRPr="007C15F5">
                      <w:t>1</w:t>
                    </w:r>
                    <w:r w:rsidR="00492372">
                      <w:t>9</w:t>
                    </w:r>
                  </w:ins>
                </w:p>
              </w:tc>
            </w:tr>
            <w:tr w:rsidR="00D74514" w:rsidRPr="007C15F5" w14:paraId="2E5D570E" w14:textId="77777777" w:rsidTr="00C33EEE">
              <w:trPr>
                <w:cantSplit/>
              </w:trPr>
              <w:tc>
                <w:tcPr>
                  <w:tcW w:w="1985" w:type="dxa"/>
                </w:tcPr>
                <w:p w14:paraId="69D51396" w14:textId="77777777" w:rsidR="00D74514" w:rsidRPr="007C15F5" w:rsidRDefault="00D74514" w:rsidP="00C33EEE">
                  <w:pPr>
                    <w:tabs>
                      <w:tab w:val="right" w:pos="1748"/>
                    </w:tabs>
                    <w:spacing w:line="200" w:lineRule="atLeast"/>
                    <w:rPr>
                      <w:sz w:val="20"/>
                    </w:rPr>
                  </w:pPr>
                  <w:r w:rsidRPr="007C15F5">
                    <w:rPr>
                      <w:sz w:val="20"/>
                    </w:rPr>
                    <w:t>Gear</w:t>
                  </w:r>
                  <w:r w:rsidRPr="007C15F5">
                    <w:rPr>
                      <w:sz w:val="20"/>
                    </w:rPr>
                    <w:tab/>
                    <w:t>longline</w:t>
                  </w:r>
                </w:p>
              </w:tc>
            </w:tr>
          </w:tbl>
          <w:p w14:paraId="4DE18DB3" w14:textId="77777777" w:rsidR="00D74514" w:rsidRPr="007C15F5" w:rsidRDefault="00D74514" w:rsidP="00C33EEE">
            <w:pPr>
              <w:pStyle w:val="conservationmeasuretitle1"/>
            </w:pPr>
          </w:p>
        </w:tc>
      </w:tr>
      <w:tr w:rsidR="00D74514" w:rsidRPr="007C15F5" w14:paraId="1EE838A0" w14:textId="77777777" w:rsidTr="00C33EEE">
        <w:trPr>
          <w:cantSplit/>
        </w:trPr>
        <w:tc>
          <w:tcPr>
            <w:tcW w:w="9279" w:type="dxa"/>
            <w:gridSpan w:val="4"/>
          </w:tcPr>
          <w:p w14:paraId="3BB4B749" w14:textId="77777777" w:rsidR="00D74514" w:rsidRPr="007C15F5" w:rsidRDefault="00D74514" w:rsidP="00C33EEE">
            <w:pPr>
              <w:pStyle w:val="cmpara"/>
              <w:spacing w:before="240"/>
            </w:pPr>
            <w:r w:rsidRPr="007C15F5">
              <w:t>The Commission hereby adopts the following conservation measure in accordance with Conservation Measure 21-02:</w:t>
            </w:r>
          </w:p>
        </w:tc>
      </w:tr>
      <w:tr w:rsidR="00D74514" w:rsidRPr="007C15F5" w14:paraId="628DEE13" w14:textId="77777777" w:rsidTr="00C33EEE">
        <w:tc>
          <w:tcPr>
            <w:tcW w:w="1355" w:type="dxa"/>
          </w:tcPr>
          <w:p w14:paraId="4DD10214" w14:textId="77777777" w:rsidR="00D74514" w:rsidRPr="00143BA8" w:rsidRDefault="00D74514" w:rsidP="00C33EEE">
            <w:pPr>
              <w:pStyle w:val="cmpara"/>
              <w:jc w:val="left"/>
              <w:rPr>
                <w:sz w:val="20"/>
              </w:rPr>
            </w:pPr>
            <w:r w:rsidRPr="00143BA8">
              <w:rPr>
                <w:sz w:val="20"/>
              </w:rPr>
              <w:t>Access</w:t>
            </w:r>
          </w:p>
        </w:tc>
        <w:tc>
          <w:tcPr>
            <w:tcW w:w="538" w:type="dxa"/>
          </w:tcPr>
          <w:p w14:paraId="66499CB2" w14:textId="77777777" w:rsidR="00D74514" w:rsidRPr="007C15F5" w:rsidRDefault="00D74514" w:rsidP="00C33EEE">
            <w:pPr>
              <w:pStyle w:val="cmpara"/>
              <w:rPr>
                <w:caps/>
              </w:rPr>
            </w:pPr>
            <w:r w:rsidRPr="007C15F5">
              <w:rPr>
                <w:caps/>
              </w:rPr>
              <w:t>1.</w:t>
            </w:r>
          </w:p>
        </w:tc>
        <w:tc>
          <w:tcPr>
            <w:tcW w:w="7386" w:type="dxa"/>
            <w:gridSpan w:val="2"/>
          </w:tcPr>
          <w:p w14:paraId="310D33EE" w14:textId="581800FD" w:rsidR="00D74514" w:rsidRPr="007C15F5" w:rsidRDefault="00D74514" w:rsidP="00492372">
            <w:pPr>
              <w:pStyle w:val="cmpara"/>
              <w:rPr>
                <w:caps/>
              </w:rPr>
            </w:pPr>
            <w:r w:rsidRPr="007C15F5">
              <w:t xml:space="preserve">Fishing for </w:t>
            </w:r>
            <w:r w:rsidRPr="007C15F5">
              <w:rPr>
                <w:i/>
                <w:iCs/>
              </w:rPr>
              <w:t>Dissostichus</w:t>
            </w:r>
            <w:r w:rsidRPr="007C15F5">
              <w:t xml:space="preserve"> </w:t>
            </w:r>
            <w:r w:rsidRPr="007C15F5">
              <w:rPr>
                <w:i/>
              </w:rPr>
              <w:t>mawsoni</w:t>
            </w:r>
            <w:r w:rsidRPr="007C15F5">
              <w:t xml:space="preserve"> in Statistical Subarea 88.1 shall be limited to the exploratory longline fishery by Australia, Japan, Republic of Korea, New Zealand, </w:t>
            </w:r>
            <w:del w:id="12" w:author="Stephane Thanassekos" w:date="2018-11-01T13:30:00Z">
              <w:r w:rsidRPr="007C15F5" w:rsidDel="00492372">
                <w:delText xml:space="preserve">Norway, </w:delText>
              </w:r>
            </w:del>
            <w:r w:rsidRPr="007C15F5">
              <w:t>Russia, Spain, Ukraine</w:t>
            </w:r>
            <w:r w:rsidR="00930DE2">
              <w:t xml:space="preserve">, </w:t>
            </w:r>
            <w:r w:rsidRPr="007C15F5">
              <w:t>the UK</w:t>
            </w:r>
            <w:r w:rsidR="00B05991">
              <w:t xml:space="preserve"> and Uruguay</w:t>
            </w:r>
            <w:r w:rsidRPr="007C15F5">
              <w:t xml:space="preserve">. The fishery shall be conducted by a maximum in the season of </w:t>
            </w:r>
            <w:r w:rsidR="00746200">
              <w:t>two</w:t>
            </w:r>
            <w:r w:rsidRPr="007C15F5">
              <w:t xml:space="preserve"> (</w:t>
            </w:r>
            <w:del w:id="13" w:author="Stephane Thanassekos" w:date="2018-11-01T13:30:00Z">
              <w:r w:rsidR="00746200" w:rsidDel="00492372">
                <w:delText>2</w:delText>
              </w:r>
            </w:del>
            <w:ins w:id="14" w:author="Stephane Thanassekos" w:date="2018-11-01T13:30:00Z">
              <w:r w:rsidR="00492372">
                <w:t>1</w:t>
              </w:r>
            </w:ins>
            <w:r w:rsidRPr="007C15F5">
              <w:t>) Australian, one (1) Japanese, f</w:t>
            </w:r>
            <w:r w:rsidR="00746200">
              <w:t>ive</w:t>
            </w:r>
            <w:r w:rsidRPr="007C15F5">
              <w:t xml:space="preserve"> (</w:t>
            </w:r>
            <w:r w:rsidR="00746200">
              <w:t>5</w:t>
            </w:r>
            <w:r w:rsidRPr="007C15F5">
              <w:t xml:space="preserve">) Korean, three (3) New Zealand, </w:t>
            </w:r>
            <w:del w:id="15" w:author="Stephane Thanassekos" w:date="2018-11-01T13:31:00Z">
              <w:r w:rsidRPr="007C15F5" w:rsidDel="00492372">
                <w:delText xml:space="preserve">one (1) Norwegian, </w:delText>
              </w:r>
            </w:del>
            <w:r w:rsidR="00746200">
              <w:t>four</w:t>
            </w:r>
            <w:r w:rsidRPr="007C15F5">
              <w:t xml:space="preserve"> (</w:t>
            </w:r>
            <w:r w:rsidR="00746200">
              <w:t>4</w:t>
            </w:r>
            <w:r w:rsidRPr="007C15F5">
              <w:t xml:space="preserve">) Russian, one (1) Spanish, </w:t>
            </w:r>
            <w:r w:rsidR="00746200">
              <w:t>five</w:t>
            </w:r>
            <w:r w:rsidRPr="007C15F5">
              <w:t xml:space="preserve"> (</w:t>
            </w:r>
            <w:r w:rsidR="00746200">
              <w:t>5</w:t>
            </w:r>
            <w:r w:rsidRPr="007C15F5">
              <w:t>) Ukrainian</w:t>
            </w:r>
            <w:r w:rsidR="00746200">
              <w:t>,</w:t>
            </w:r>
            <w:r w:rsidRPr="007C15F5">
              <w:t xml:space="preserve"> </w:t>
            </w:r>
            <w:del w:id="16" w:author="Stephane Thanassekos" w:date="2018-11-01T13:31:00Z">
              <w:r w:rsidRPr="007C15F5" w:rsidDel="00492372">
                <w:delText xml:space="preserve">one </w:delText>
              </w:r>
            </w:del>
            <w:ins w:id="17" w:author="Stephane Thanassekos" w:date="2018-11-01T13:31:00Z">
              <w:r w:rsidR="00492372">
                <w:t>three</w:t>
              </w:r>
              <w:r w:rsidR="00492372" w:rsidRPr="007C15F5">
                <w:t xml:space="preserve"> </w:t>
              </w:r>
            </w:ins>
            <w:r w:rsidRPr="007C15F5">
              <w:t>(</w:t>
            </w:r>
            <w:del w:id="18" w:author="Stephane Thanassekos" w:date="2018-11-01T13:31:00Z">
              <w:r w:rsidRPr="007C15F5" w:rsidDel="00492372">
                <w:delText>1</w:delText>
              </w:r>
            </w:del>
            <w:ins w:id="19" w:author="Stephane Thanassekos" w:date="2018-11-01T13:31:00Z">
              <w:r w:rsidR="00492372">
                <w:t>3</w:t>
              </w:r>
            </w:ins>
            <w:r w:rsidRPr="007C15F5">
              <w:t xml:space="preserve">) UK </w:t>
            </w:r>
            <w:r w:rsidR="00746200">
              <w:t>and one (1) Uruguay</w:t>
            </w:r>
            <w:r w:rsidR="00702BD9">
              <w:t>an</w:t>
            </w:r>
            <w:r w:rsidR="00746200">
              <w:t xml:space="preserve"> </w:t>
            </w:r>
            <w:r w:rsidR="005F550B" w:rsidRPr="007C15F5">
              <w:t xml:space="preserve">flagged </w:t>
            </w:r>
            <w:r w:rsidRPr="007C15F5">
              <w:t>vessel using longlines only.</w:t>
            </w:r>
          </w:p>
        </w:tc>
      </w:tr>
      <w:tr w:rsidR="00D74514" w:rsidRPr="007C15F5" w14:paraId="6BF24985" w14:textId="77777777" w:rsidTr="00C33EEE">
        <w:tc>
          <w:tcPr>
            <w:tcW w:w="1355" w:type="dxa"/>
          </w:tcPr>
          <w:p w14:paraId="79F34D14" w14:textId="77777777" w:rsidR="00D74514" w:rsidRPr="00143BA8" w:rsidRDefault="00D74514" w:rsidP="00C33EEE">
            <w:pPr>
              <w:pStyle w:val="cmpara"/>
              <w:spacing w:after="220"/>
              <w:jc w:val="left"/>
              <w:rPr>
                <w:sz w:val="20"/>
              </w:rPr>
            </w:pPr>
            <w:r w:rsidRPr="00143BA8">
              <w:rPr>
                <w:sz w:val="20"/>
              </w:rPr>
              <w:t>Catch limit</w:t>
            </w:r>
          </w:p>
        </w:tc>
        <w:tc>
          <w:tcPr>
            <w:tcW w:w="538" w:type="dxa"/>
          </w:tcPr>
          <w:p w14:paraId="05E0F3FA" w14:textId="77777777" w:rsidR="00D74514" w:rsidRPr="007C15F5" w:rsidRDefault="00D74514" w:rsidP="00C33EEE">
            <w:pPr>
              <w:pStyle w:val="cmpara"/>
              <w:spacing w:after="220"/>
            </w:pPr>
            <w:r w:rsidRPr="007C15F5">
              <w:t>2.</w:t>
            </w:r>
          </w:p>
        </w:tc>
        <w:tc>
          <w:tcPr>
            <w:tcW w:w="7386" w:type="dxa"/>
            <w:gridSpan w:val="2"/>
          </w:tcPr>
          <w:p w14:paraId="156B949C" w14:textId="5C4A4A57" w:rsidR="00930DE2" w:rsidRDefault="00216348" w:rsidP="00C33EEE">
            <w:pPr>
              <w:pStyle w:val="cmpara"/>
            </w:pPr>
            <w:r w:rsidRPr="00216348">
              <w:t>In accordance with Conservation Measure 91-05</w:t>
            </w:r>
            <w:r w:rsidR="005F550B">
              <w:t>,</w:t>
            </w:r>
            <w:r w:rsidR="005F550B" w:rsidRPr="00216348">
              <w:t xml:space="preserve"> paragraph 28</w:t>
            </w:r>
            <w:r w:rsidRPr="00216348">
              <w:t xml:space="preserve">, the precautionary catch limits </w:t>
            </w:r>
            <w:bookmarkStart w:id="20" w:name="_GoBack"/>
            <w:bookmarkEnd w:id="20"/>
            <w:r w:rsidRPr="00216348">
              <w:t xml:space="preserve">for Statistical Subarea 88.2 </w:t>
            </w:r>
            <w:r w:rsidR="005F550B">
              <w:t>small-scale research units (</w:t>
            </w:r>
            <w:r w:rsidRPr="00216348">
              <w:t>SSRUs</w:t>
            </w:r>
            <w:r w:rsidR="005F550B">
              <w:t>)</w:t>
            </w:r>
            <w:r w:rsidRPr="00216348">
              <w:t xml:space="preserve"> A</w:t>
            </w:r>
            <w:r w:rsidR="005F550B">
              <w:t>–</w:t>
            </w:r>
            <w:r w:rsidRPr="00216348">
              <w:t>B are included in the catch limits in this paragraph.</w:t>
            </w:r>
            <w:r w:rsidR="00930DE2">
              <w:t xml:space="preserve"> </w:t>
            </w:r>
          </w:p>
          <w:p w14:paraId="0BF26ABD" w14:textId="77777777" w:rsidR="00D74514" w:rsidRDefault="00D74514" w:rsidP="00492372">
            <w:pPr>
              <w:pStyle w:val="cmpara"/>
              <w:rPr>
                <w:ins w:id="21" w:author="Stephane Thanassekos" w:date="2018-11-01T13:36:00Z"/>
                <w:sz w:val="20"/>
              </w:rPr>
            </w:pPr>
            <w:r w:rsidRPr="007C15F5">
              <w:t xml:space="preserve">The total catch of </w:t>
            </w:r>
            <w:r w:rsidRPr="007C15F5">
              <w:rPr>
                <w:i/>
              </w:rPr>
              <w:t>Dissostichus</w:t>
            </w:r>
            <w:r w:rsidRPr="007C15F5">
              <w:t xml:space="preserve"> </w:t>
            </w:r>
            <w:r w:rsidRPr="007C15F5">
              <w:rPr>
                <w:i/>
              </w:rPr>
              <w:t>mawsoni</w:t>
            </w:r>
            <w:r w:rsidRPr="007C15F5">
              <w:t xml:space="preserve"> in the </w:t>
            </w:r>
            <w:del w:id="22" w:author="Stephane Thanassekos" w:date="2018-11-01T13:35:00Z">
              <w:r w:rsidRPr="007C15F5" w:rsidDel="00492372">
                <w:delText>201</w:delText>
              </w:r>
              <w:r w:rsidR="00783126" w:rsidDel="00492372">
                <w:delText>7</w:delText>
              </w:r>
            </w:del>
            <w:ins w:id="23" w:author="Stephane Thanassekos" w:date="2018-11-01T13:35:00Z">
              <w:r w:rsidR="00492372" w:rsidRPr="007C15F5">
                <w:t>201</w:t>
              </w:r>
              <w:r w:rsidR="00492372">
                <w:t>8</w:t>
              </w:r>
            </w:ins>
            <w:r w:rsidRPr="007C15F5">
              <w:t>/</w:t>
            </w:r>
            <w:del w:id="24" w:author="Stephane Thanassekos" w:date="2018-11-01T13:35:00Z">
              <w:r w:rsidRPr="007C15F5" w:rsidDel="00492372">
                <w:delText>1</w:delText>
              </w:r>
              <w:r w:rsidR="00783126" w:rsidDel="00492372">
                <w:delText>8</w:delText>
              </w:r>
              <w:r w:rsidRPr="007C15F5" w:rsidDel="00492372">
                <w:delText xml:space="preserve"> </w:delText>
              </w:r>
            </w:del>
            <w:ins w:id="25" w:author="Stephane Thanassekos" w:date="2018-11-01T13:35:00Z">
              <w:r w:rsidR="00492372" w:rsidRPr="007C15F5">
                <w:t>1</w:t>
              </w:r>
              <w:r w:rsidR="00492372">
                <w:t>9</w:t>
              </w:r>
              <w:r w:rsidR="00492372" w:rsidRPr="007C15F5">
                <w:t xml:space="preserve"> </w:t>
              </w:r>
            </w:ins>
            <w:r w:rsidRPr="007C15F5">
              <w:t xml:space="preserve">season shall not exceed a precautionary catch limit of </w:t>
            </w:r>
            <w:r w:rsidR="004F0A13">
              <w:t>3</w:t>
            </w:r>
            <w:r w:rsidR="001D7CD6">
              <w:t> </w:t>
            </w:r>
            <w:r w:rsidR="004F0A13">
              <w:t>157</w:t>
            </w:r>
            <w:r w:rsidRPr="007C15F5">
              <w:t> tonnes applied as follows</w:t>
            </w:r>
            <w:r w:rsidRPr="007C15F5">
              <w:rPr>
                <w:sz w:val="20"/>
              </w:rPr>
              <w:t xml:space="preserve">: </w:t>
            </w:r>
          </w:p>
          <w:p w14:paraId="6DF579E6" w14:textId="519C3AEA" w:rsidR="00492372" w:rsidRDefault="00933D25" w:rsidP="00492372">
            <w:pPr>
              <w:pStyle w:val="cmpara"/>
              <w:spacing w:after="0" w:line="288" w:lineRule="auto"/>
              <w:rPr>
                <w:ins w:id="26" w:author="Stephane Thanassekos" w:date="2018-11-01T13:36:00Z"/>
                <w:szCs w:val="24"/>
              </w:rPr>
            </w:pPr>
            <w:ins w:id="27" w:author="Doro Forck" w:date="2018-11-02T14:14:00Z">
              <w:r>
                <w:rPr>
                  <w:szCs w:val="24"/>
                </w:rPr>
                <w:t>(</w:t>
              </w:r>
              <w:proofErr w:type="spellStart"/>
              <w:r>
                <w:rPr>
                  <w:szCs w:val="24"/>
                </w:rPr>
                <w:t>i</w:t>
              </w:r>
              <w:proofErr w:type="spellEnd"/>
              <w:r>
                <w:rPr>
                  <w:szCs w:val="24"/>
                </w:rPr>
                <w:t xml:space="preserve">) </w:t>
              </w:r>
              <w:r>
                <w:rPr>
                  <w:szCs w:val="24"/>
                </w:rPr>
                <w:tab/>
              </w:r>
            </w:ins>
            <w:ins w:id="28" w:author="Stephane Thanassekos" w:date="2018-11-01T13:36:00Z">
              <w:r w:rsidR="00492372">
                <w:rPr>
                  <w:szCs w:val="24"/>
                </w:rPr>
                <w:t xml:space="preserve">All areas outside the Ross Sea </w:t>
              </w:r>
              <w:proofErr w:type="gramStart"/>
              <w:r w:rsidR="00492372">
                <w:rPr>
                  <w:szCs w:val="24"/>
                </w:rPr>
                <w:t>region</w:t>
              </w:r>
              <w:proofErr w:type="gramEnd"/>
              <w:r w:rsidR="00492372">
                <w:rPr>
                  <w:szCs w:val="24"/>
                </w:rPr>
                <w:t xml:space="preserve"> Marine Protected Area</w:t>
              </w:r>
            </w:ins>
            <w:ins w:id="29" w:author="Doro Forck" w:date="2018-11-02T14:15:00Z">
              <w:r>
                <w:rPr>
                  <w:szCs w:val="24"/>
                </w:rPr>
                <w:t>, which in</w:t>
              </w:r>
            </w:ins>
            <w:ins w:id="30" w:author="Doro Forck" w:date="2018-11-02T14:17:00Z">
              <w:r>
                <w:rPr>
                  <w:szCs w:val="24"/>
                </w:rPr>
                <w:t xml:space="preserve"> </w:t>
              </w:r>
            </w:ins>
            <w:ins w:id="31" w:author="Doro Forck" w:date="2018-11-02T14:16:00Z">
              <w:r>
                <w:rPr>
                  <w:szCs w:val="24"/>
                </w:rPr>
                <w:t>Statistical</w:t>
              </w:r>
            </w:ins>
            <w:ins w:id="32" w:author="Doro Forck" w:date="2018-11-02T14:15:00Z">
              <w:r>
                <w:rPr>
                  <w:szCs w:val="24"/>
                </w:rPr>
                <w:t xml:space="preserve"> </w:t>
              </w:r>
            </w:ins>
            <w:ins w:id="33" w:author="Doro Forck" w:date="2018-11-02T14:16:00Z">
              <w:r>
                <w:rPr>
                  <w:szCs w:val="24"/>
                </w:rPr>
                <w:t>Sub</w:t>
              </w:r>
            </w:ins>
            <w:ins w:id="34" w:author="Doro Forck" w:date="2018-11-02T14:18:00Z">
              <w:r>
                <w:rPr>
                  <w:szCs w:val="24"/>
                </w:rPr>
                <w:t>a</w:t>
              </w:r>
            </w:ins>
            <w:ins w:id="35" w:author="Doro Forck" w:date="2018-11-02T14:16:00Z">
              <w:r>
                <w:rPr>
                  <w:szCs w:val="24"/>
                </w:rPr>
                <w:t>rea 88.1</w:t>
              </w:r>
            </w:ins>
            <w:ins w:id="36" w:author="Doro Forck" w:date="2018-11-02T14:17:00Z">
              <w:r>
                <w:rPr>
                  <w:szCs w:val="24"/>
                </w:rPr>
                <w:t xml:space="preserve"> </w:t>
              </w:r>
            </w:ins>
            <w:ins w:id="37" w:author="Doro Forck" w:date="2018-11-02T14:16:00Z">
              <w:r>
                <w:rPr>
                  <w:szCs w:val="24"/>
                </w:rPr>
                <w:t>n</w:t>
              </w:r>
            </w:ins>
            <w:ins w:id="38" w:author="Doro Forck" w:date="2018-11-02T14:17:00Z">
              <w:r>
                <w:rPr>
                  <w:szCs w:val="24"/>
                </w:rPr>
                <w:t>orth</w:t>
              </w:r>
            </w:ins>
            <w:ins w:id="39" w:author="Doro Forck" w:date="2018-11-02T14:16:00Z">
              <w:r>
                <w:rPr>
                  <w:szCs w:val="24"/>
                </w:rPr>
                <w:t xml:space="preserve"> of 70</w:t>
              </w:r>
            </w:ins>
            <w:ins w:id="40" w:author="Doro Forck" w:date="2018-11-02T14:19:00Z">
              <w:r w:rsidRPr="00E51262">
                <w:rPr>
                  <w:szCs w:val="24"/>
                </w:rPr>
                <w:t>°</w:t>
              </w:r>
            </w:ins>
            <w:ins w:id="41" w:author="Doro Forck" w:date="2018-11-02T14:16:00Z">
              <w:r w:rsidR="0097160C">
                <w:rPr>
                  <w:szCs w:val="24"/>
                </w:rPr>
                <w:t xml:space="preserve">S </w:t>
              </w:r>
            </w:ins>
            <w:ins w:id="42" w:author="Doro Forck" w:date="2018-11-02T14:17:00Z">
              <w:r>
                <w:rPr>
                  <w:szCs w:val="24"/>
                </w:rPr>
                <w:t>include</w:t>
              </w:r>
            </w:ins>
            <w:ins w:id="43" w:author="Doro Forck" w:date="2018-11-02T14:23:00Z">
              <w:r w:rsidR="0097160C">
                <w:rPr>
                  <w:szCs w:val="24"/>
                </w:rPr>
                <w:t xml:space="preserve"> SSRUs</w:t>
              </w:r>
            </w:ins>
            <w:ins w:id="44" w:author="Doro Forck" w:date="2018-11-02T14:16:00Z">
              <w:r>
                <w:rPr>
                  <w:szCs w:val="24"/>
                </w:rPr>
                <w:t xml:space="preserve"> A, B, C and G, and which south of 70</w:t>
              </w:r>
            </w:ins>
            <w:ins w:id="45" w:author="Doro Forck" w:date="2018-11-02T14:19:00Z">
              <w:r w:rsidRPr="00E51262">
                <w:rPr>
                  <w:szCs w:val="24"/>
                </w:rPr>
                <w:t>°</w:t>
              </w:r>
            </w:ins>
            <w:ins w:id="46" w:author="Doro Forck" w:date="2018-11-02T14:18:00Z">
              <w:r w:rsidR="0097160C">
                <w:rPr>
                  <w:szCs w:val="24"/>
                </w:rPr>
                <w:t xml:space="preserve">S </w:t>
              </w:r>
            </w:ins>
            <w:ins w:id="47" w:author="Doro Forck" w:date="2018-11-02T14:17:00Z">
              <w:r>
                <w:rPr>
                  <w:szCs w:val="24"/>
                </w:rPr>
                <w:t>include</w:t>
              </w:r>
            </w:ins>
            <w:ins w:id="48" w:author="Doro Forck" w:date="2018-11-02T14:23:00Z">
              <w:r w:rsidR="0097160C">
                <w:rPr>
                  <w:szCs w:val="24"/>
                </w:rPr>
                <w:t xml:space="preserve"> SSRUs</w:t>
              </w:r>
            </w:ins>
            <w:ins w:id="49" w:author="Doro Forck" w:date="2018-11-02T14:16:00Z">
              <w:r>
                <w:rPr>
                  <w:szCs w:val="24"/>
                </w:rPr>
                <w:t xml:space="preserve"> G, H, I, J and K.</w:t>
              </w:r>
            </w:ins>
            <w:ins w:id="50" w:author="Stephane Thanassekos" w:date="2018-11-01T13:36:00Z">
              <w:del w:id="51" w:author="Doro Forck" w:date="2018-11-02T14:15:00Z">
                <w:r w:rsidR="00492372" w:rsidDel="00933D25">
                  <w:rPr>
                    <w:szCs w:val="24"/>
                  </w:rPr>
                  <w:delText xml:space="preserve"> </w:delText>
                </w:r>
              </w:del>
              <w:del w:id="52" w:author="Doro Forck" w:date="2018-11-02T14:17:00Z">
                <w:r w:rsidR="00492372" w:rsidDel="00933D25">
                  <w:rPr>
                    <w:szCs w:val="24"/>
                  </w:rPr>
                  <w:delText xml:space="preserve">– </w:delText>
                </w:r>
              </w:del>
            </w:ins>
          </w:p>
          <w:p w14:paraId="7D5250F5" w14:textId="77777777" w:rsidR="00492372" w:rsidRDefault="00492372" w:rsidP="00492372">
            <w:pPr>
              <w:pStyle w:val="cmpara"/>
              <w:spacing w:after="0" w:line="288" w:lineRule="auto"/>
              <w:rPr>
                <w:ins w:id="53" w:author="Stephane Thanassekos" w:date="2018-11-01T13:36:00Z"/>
                <w:szCs w:val="24"/>
              </w:rPr>
            </w:pPr>
          </w:p>
          <w:p w14:paraId="59F8B021" w14:textId="77777777" w:rsidR="00492372" w:rsidRDefault="00492372" w:rsidP="00492372">
            <w:pPr>
              <w:pStyle w:val="cmpara"/>
              <w:spacing w:after="0" w:line="288" w:lineRule="auto"/>
              <w:rPr>
                <w:ins w:id="54" w:author="Stephane Thanassekos" w:date="2018-11-01T13:36:00Z"/>
                <w:szCs w:val="24"/>
              </w:rPr>
            </w:pPr>
            <w:ins w:id="55" w:author="Stephane Thanassekos" w:date="2018-11-01T13:36:00Z">
              <w:r>
                <w:rPr>
                  <w:szCs w:val="24"/>
                </w:rPr>
                <w:t>2628</w:t>
              </w:r>
              <w:r w:rsidRPr="00E51262">
                <w:rPr>
                  <w:szCs w:val="24"/>
                </w:rPr>
                <w:t xml:space="preserve"> tonnes</w:t>
              </w:r>
              <w:r>
                <w:rPr>
                  <w:szCs w:val="24"/>
                </w:rPr>
                <w:t>,</w:t>
              </w:r>
              <w:r w:rsidRPr="00E51262">
                <w:rPr>
                  <w:szCs w:val="24"/>
                </w:rPr>
                <w:t xml:space="preserve"> of which no more than </w:t>
              </w:r>
              <w:r>
                <w:rPr>
                  <w:szCs w:val="24"/>
                </w:rPr>
                <w:t>587</w:t>
              </w:r>
              <w:r w:rsidRPr="00E51262">
                <w:rPr>
                  <w:szCs w:val="24"/>
                </w:rPr>
                <w:t xml:space="preserve"> tonnes </w:t>
              </w:r>
              <w:r>
                <w:rPr>
                  <w:szCs w:val="24"/>
                </w:rPr>
                <w:t xml:space="preserve">is to </w:t>
              </w:r>
              <w:r w:rsidRPr="00E51262">
                <w:rPr>
                  <w:szCs w:val="24"/>
                </w:rPr>
                <w:t xml:space="preserve">be </w:t>
              </w:r>
              <w:r>
                <w:rPr>
                  <w:szCs w:val="24"/>
                </w:rPr>
                <w:t xml:space="preserve">taken </w:t>
              </w:r>
              <w:r w:rsidRPr="00E51262">
                <w:rPr>
                  <w:szCs w:val="24"/>
                </w:rPr>
                <w:t>north of 70°S.</w:t>
              </w:r>
              <w:r>
                <w:rPr>
                  <w:szCs w:val="24"/>
                </w:rPr>
                <w:t xml:space="preserve"> </w:t>
              </w:r>
            </w:ins>
          </w:p>
          <w:p w14:paraId="3489B5D6" w14:textId="77777777" w:rsidR="00492372" w:rsidRDefault="00492372" w:rsidP="00492372">
            <w:pPr>
              <w:pStyle w:val="cmpara"/>
              <w:spacing w:after="0" w:line="288" w:lineRule="auto"/>
              <w:rPr>
                <w:ins w:id="56" w:author="Stephane Thanassekos" w:date="2018-11-01T13:36:00Z"/>
                <w:szCs w:val="24"/>
              </w:rPr>
            </w:pPr>
          </w:p>
          <w:p w14:paraId="22119009" w14:textId="51E353E6" w:rsidR="00492372" w:rsidRPr="00DA2566" w:rsidRDefault="00492372" w:rsidP="00492372">
            <w:pPr>
              <w:pStyle w:val="cmpara"/>
              <w:spacing w:after="0" w:line="288" w:lineRule="auto"/>
              <w:rPr>
                <w:ins w:id="57" w:author="Stephane Thanassekos" w:date="2018-11-01T13:36:00Z"/>
              </w:rPr>
            </w:pPr>
            <w:ins w:id="58" w:author="Stephane Thanassekos" w:date="2018-11-01T13:36:00Z">
              <w:r>
                <w:t>If, however, more than 587 tonnes have been taken north of 70°S</w:t>
              </w:r>
              <w:del w:id="59" w:author="Doro Forck" w:date="2018-11-02T14:19:00Z">
                <w:r w:rsidDel="00933D25">
                  <w:delText xml:space="preserve"> by the time that the Secretariat has issued a closure notice for the fishery north of 70°S</w:delText>
                </w:r>
              </w:del>
              <w:r>
                <w:t xml:space="preserve">, then the </w:t>
              </w:r>
              <w:r w:rsidRPr="00886D82">
                <w:rPr>
                  <w:szCs w:val="24"/>
                </w:rPr>
                <w:t>amount</w:t>
              </w:r>
              <w:r>
                <w:t xml:space="preserve"> that may be taken south of 70°S is reduced by the amount taken over 587 tonnes north of 70°S.</w:t>
              </w:r>
            </w:ins>
          </w:p>
          <w:p w14:paraId="21FC6D1A" w14:textId="537C9C14" w:rsidR="00492372" w:rsidRPr="007C15F5" w:rsidRDefault="00492372" w:rsidP="00492372">
            <w:pPr>
              <w:pStyle w:val="cmpara"/>
              <w:rPr>
                <w:caps/>
              </w:rPr>
            </w:pPr>
          </w:p>
        </w:tc>
      </w:tr>
      <w:tr w:rsidR="00D74514" w:rsidRPr="007C15F5" w14:paraId="014614A9" w14:textId="77777777" w:rsidTr="00C33EEE">
        <w:trPr>
          <w:cantSplit/>
        </w:trPr>
        <w:tc>
          <w:tcPr>
            <w:tcW w:w="1355" w:type="dxa"/>
          </w:tcPr>
          <w:p w14:paraId="48FB73AB" w14:textId="77777777" w:rsidR="00D74514" w:rsidRPr="00143BA8" w:rsidRDefault="00D74514" w:rsidP="00C33EEE">
            <w:pPr>
              <w:pStyle w:val="cmpara"/>
              <w:jc w:val="left"/>
              <w:rPr>
                <w:sz w:val="20"/>
              </w:rPr>
            </w:pPr>
          </w:p>
        </w:tc>
        <w:tc>
          <w:tcPr>
            <w:tcW w:w="538" w:type="dxa"/>
          </w:tcPr>
          <w:p w14:paraId="719146CD" w14:textId="77777777" w:rsidR="00D74514" w:rsidRPr="007C15F5" w:rsidRDefault="00D74514" w:rsidP="00C33EEE">
            <w:pPr>
              <w:pStyle w:val="cmpara"/>
            </w:pPr>
          </w:p>
        </w:tc>
        <w:tc>
          <w:tcPr>
            <w:tcW w:w="7386" w:type="dxa"/>
            <w:gridSpan w:val="2"/>
          </w:tcPr>
          <w:p w14:paraId="5AB22A16" w14:textId="4DDD0755" w:rsidR="00216348" w:rsidRPr="000C277F" w:rsidDel="00492372" w:rsidRDefault="00492372" w:rsidP="000C277F">
            <w:pPr>
              <w:pStyle w:val="cmsubpara"/>
              <w:ind w:left="567"/>
              <w:rPr>
                <w:del w:id="60" w:author="Stephane Thanassekos" w:date="2018-11-01T13:36:00Z"/>
              </w:rPr>
            </w:pPr>
            <w:ins w:id="61" w:author="Stephane Thanassekos" w:date="2018-11-01T13:36:00Z">
              <w:r w:rsidRPr="000C277F" w:rsidDel="00492372">
                <w:t xml:space="preserve"> </w:t>
              </w:r>
            </w:ins>
            <w:del w:id="62" w:author="Stephane Thanassekos" w:date="2018-11-01T13:36:00Z">
              <w:r w:rsidR="00216348" w:rsidRPr="000C277F" w:rsidDel="00492372">
                <w:delText>(i)</w:delText>
              </w:r>
              <w:r w:rsidR="001E0DFF" w:rsidDel="00492372">
                <w:tab/>
              </w:r>
              <w:r w:rsidR="00216348" w:rsidRPr="000C277F" w:rsidDel="00492372">
                <w:delText xml:space="preserve">all areas outside the Ross Sea region marine protected area and north of 70°S, which in Statistical Subarea 88.1 include SSRU A (the catch limit for SSRU A, which prior to the 2017/18 season was set at zero, shall be reviewed by the Scientific Committee and its working groups with a view to providing advice to the Commission at its 2018 meeting) and SSRUs B, C, G – </w:delText>
              </w:r>
            </w:del>
          </w:p>
          <w:p w14:paraId="6E77F97E" w14:textId="0AD0F4EE" w:rsidR="00216348" w:rsidRPr="000C277F" w:rsidDel="00492372" w:rsidRDefault="00216348" w:rsidP="000C277F">
            <w:pPr>
              <w:pStyle w:val="cmsubpara"/>
              <w:ind w:left="567"/>
              <w:rPr>
                <w:del w:id="63" w:author="Stephane Thanassekos" w:date="2018-11-01T13:36:00Z"/>
              </w:rPr>
            </w:pPr>
            <w:del w:id="64" w:author="Stephane Thanassekos" w:date="2018-11-01T13:36:00Z">
              <w:r w:rsidRPr="000C277F" w:rsidDel="00492372">
                <w:tab/>
                <w:delText>591 tonnes</w:delText>
              </w:r>
            </w:del>
          </w:p>
          <w:p w14:paraId="02E76B82" w14:textId="7BAA15AA" w:rsidR="00216348" w:rsidRPr="000C277F" w:rsidDel="00492372" w:rsidRDefault="00216348" w:rsidP="000C277F">
            <w:pPr>
              <w:pStyle w:val="cmsubpara"/>
              <w:ind w:left="567"/>
              <w:rPr>
                <w:del w:id="65" w:author="Stephane Thanassekos" w:date="2018-11-01T13:36:00Z"/>
              </w:rPr>
            </w:pPr>
            <w:del w:id="66" w:author="Stephane Thanassekos" w:date="2018-11-01T13:36:00Z">
              <w:r w:rsidRPr="000C277F" w:rsidDel="00492372">
                <w:delText>(i</w:delText>
              </w:r>
              <w:r w:rsidR="001E0DFF" w:rsidDel="00492372">
                <w:delText>i</w:delText>
              </w:r>
              <w:r w:rsidRPr="000C277F" w:rsidDel="00492372">
                <w:delText>)</w:delText>
              </w:r>
              <w:r w:rsidR="001E0DFF" w:rsidDel="00492372">
                <w:tab/>
              </w:r>
              <w:r w:rsidRPr="000C277F" w:rsidDel="00492372">
                <w:delText>all areas outside the Ross Sea region marine protected area and south of 70°S, which in Statistical Subarea 88.1 include</w:delText>
              </w:r>
              <w:r w:rsidR="00930DE2" w:rsidRPr="000C277F" w:rsidDel="00492372">
                <w:delText xml:space="preserve"> </w:delText>
              </w:r>
              <w:r w:rsidRPr="000C277F" w:rsidDel="00492372">
                <w:delText xml:space="preserve">SSRUs G, H, I, J and K – </w:delText>
              </w:r>
            </w:del>
          </w:p>
          <w:p w14:paraId="35B4692A" w14:textId="03D9995C" w:rsidR="00216348" w:rsidRPr="000C277F" w:rsidDel="00492372" w:rsidRDefault="00216348" w:rsidP="000C277F">
            <w:pPr>
              <w:pStyle w:val="cmsubpara"/>
              <w:ind w:left="567"/>
              <w:rPr>
                <w:del w:id="67" w:author="Stephane Thanassekos" w:date="2018-11-01T13:36:00Z"/>
              </w:rPr>
            </w:pPr>
            <w:del w:id="68" w:author="Stephane Thanassekos" w:date="2018-11-01T13:36:00Z">
              <w:r w:rsidRPr="000C277F" w:rsidDel="00492372">
                <w:tab/>
                <w:delText>2 054 tonnes</w:delText>
              </w:r>
            </w:del>
          </w:p>
          <w:p w14:paraId="7D159494" w14:textId="05BAD8A3" w:rsidR="00216348" w:rsidRPr="000C277F" w:rsidRDefault="00216348" w:rsidP="000C277F">
            <w:pPr>
              <w:pStyle w:val="cmsubpara"/>
              <w:ind w:left="567"/>
            </w:pPr>
            <w:del w:id="69" w:author="Stephane Thanassekos" w:date="2018-11-01T13:37:00Z">
              <w:r w:rsidRPr="000C277F" w:rsidDel="00492372">
                <w:delText>(i</w:delText>
              </w:r>
              <w:r w:rsidR="005F550B" w:rsidRPr="005F550B" w:rsidDel="00492372">
                <w:delText>ii</w:delText>
              </w:r>
              <w:r w:rsidRPr="000C277F" w:rsidDel="00492372">
                <w:delText>)</w:delText>
              </w:r>
            </w:del>
            <w:r w:rsidR="001E0DFF">
              <w:tab/>
            </w:r>
            <w:ins w:id="70" w:author="Doro Forck" w:date="2018-11-02T14:15:00Z">
              <w:r w:rsidR="00933D25">
                <w:t>(ii)</w:t>
              </w:r>
              <w:r w:rsidR="00933D25">
                <w:tab/>
              </w:r>
            </w:ins>
            <w:r w:rsidRPr="000C277F">
              <w:t>Special Research Zone of the Ross Sea region marine protected area</w:t>
            </w:r>
            <w:r w:rsidR="001E0DFF">
              <w:t> </w:t>
            </w:r>
            <w:r w:rsidRPr="000C277F">
              <w:t xml:space="preserve">– </w:t>
            </w:r>
          </w:p>
          <w:p w14:paraId="15087A3C" w14:textId="23C4F180" w:rsidR="00D74514" w:rsidRPr="005F550B" w:rsidRDefault="00216348" w:rsidP="00492372">
            <w:pPr>
              <w:pStyle w:val="cmsubpara"/>
              <w:ind w:left="567"/>
            </w:pPr>
            <w:r w:rsidRPr="000C277F">
              <w:tab/>
            </w:r>
            <w:del w:id="71" w:author="Stephane Thanassekos" w:date="2018-11-01T13:37:00Z">
              <w:r w:rsidRPr="000C277F" w:rsidDel="00492372">
                <w:delText xml:space="preserve">467 </w:delText>
              </w:r>
            </w:del>
            <w:ins w:id="72" w:author="Stephane Thanassekos" w:date="2018-11-01T13:37:00Z">
              <w:r w:rsidR="00492372" w:rsidRPr="000C277F">
                <w:t>46</w:t>
              </w:r>
              <w:r w:rsidR="00492372">
                <w:t>4</w:t>
              </w:r>
              <w:r w:rsidR="00492372" w:rsidRPr="000C277F">
                <w:t xml:space="preserve"> </w:t>
              </w:r>
            </w:ins>
            <w:r w:rsidRPr="000C277F">
              <w:t xml:space="preserve">tonnes. </w:t>
            </w:r>
          </w:p>
        </w:tc>
      </w:tr>
      <w:tr w:rsidR="00D74514" w:rsidRPr="007C15F5" w14:paraId="56772428" w14:textId="77777777" w:rsidTr="00D929E2">
        <w:tc>
          <w:tcPr>
            <w:tcW w:w="1355" w:type="dxa"/>
          </w:tcPr>
          <w:p w14:paraId="78934818" w14:textId="77777777" w:rsidR="00D74514" w:rsidRPr="00143BA8" w:rsidRDefault="00D74514" w:rsidP="00C33EEE">
            <w:pPr>
              <w:pStyle w:val="cmpara"/>
              <w:spacing w:after="220"/>
              <w:jc w:val="left"/>
              <w:rPr>
                <w:sz w:val="20"/>
              </w:rPr>
            </w:pPr>
          </w:p>
        </w:tc>
        <w:tc>
          <w:tcPr>
            <w:tcW w:w="538" w:type="dxa"/>
          </w:tcPr>
          <w:p w14:paraId="4541C378" w14:textId="77777777" w:rsidR="00D74514" w:rsidRPr="007C15F5" w:rsidRDefault="00D74514" w:rsidP="00C33EEE">
            <w:pPr>
              <w:pStyle w:val="cmpara"/>
              <w:spacing w:after="220"/>
            </w:pPr>
            <w:r w:rsidRPr="007C15F5">
              <w:t>3.</w:t>
            </w:r>
          </w:p>
        </w:tc>
        <w:tc>
          <w:tcPr>
            <w:tcW w:w="7386" w:type="dxa"/>
            <w:gridSpan w:val="2"/>
          </w:tcPr>
          <w:p w14:paraId="06F4B6A0" w14:textId="378766CE" w:rsidR="00D74514" w:rsidRPr="007C15F5" w:rsidRDefault="00D74514" w:rsidP="00C33EEE">
            <w:pPr>
              <w:pStyle w:val="cmpara"/>
            </w:pPr>
            <w:r w:rsidRPr="007C15F5">
              <w:t>A discrete researc</w:t>
            </w:r>
            <w:r w:rsidR="009B4DE2">
              <w:t xml:space="preserve">h catch limit of </w:t>
            </w:r>
            <w:del w:id="73" w:author="Stephane Thanassekos" w:date="2018-11-01T13:37:00Z">
              <w:r w:rsidR="00216348" w:rsidDel="00492372">
                <w:delText xml:space="preserve">45 </w:delText>
              </w:r>
            </w:del>
            <w:ins w:id="74" w:author="Stephane Thanassekos" w:date="2018-11-01T13:37:00Z">
              <w:r w:rsidR="00492372">
                <w:t xml:space="preserve">65 </w:t>
              </w:r>
            </w:ins>
            <w:r w:rsidR="009B4DE2">
              <w:t xml:space="preserve">tonnes has </w:t>
            </w:r>
            <w:r w:rsidRPr="007C15F5">
              <w:t xml:space="preserve">been set aside in the </w:t>
            </w:r>
            <w:del w:id="75" w:author="Stephane Thanassekos" w:date="2018-11-01T13:37:00Z">
              <w:r w:rsidRPr="007C15F5" w:rsidDel="00492372">
                <w:delText>201</w:delText>
              </w:r>
              <w:r w:rsidR="00783126" w:rsidDel="00492372">
                <w:delText>7</w:delText>
              </w:r>
            </w:del>
            <w:ins w:id="76" w:author="Stephane Thanassekos" w:date="2018-11-01T13:37:00Z">
              <w:r w:rsidR="00492372" w:rsidRPr="007C15F5">
                <w:t>201</w:t>
              </w:r>
              <w:r w:rsidR="00492372">
                <w:t>8</w:t>
              </w:r>
            </w:ins>
            <w:r w:rsidRPr="007C15F5">
              <w:t>/</w:t>
            </w:r>
            <w:del w:id="77" w:author="Stephane Thanassekos" w:date="2018-11-01T13:37:00Z">
              <w:r w:rsidRPr="007C15F5" w:rsidDel="00492372">
                <w:delText>1</w:delText>
              </w:r>
              <w:r w:rsidR="00783126" w:rsidDel="00492372">
                <w:delText>8</w:delText>
              </w:r>
              <w:r w:rsidRPr="007C15F5" w:rsidDel="00492372">
                <w:delText xml:space="preserve"> </w:delText>
              </w:r>
            </w:del>
            <w:ins w:id="78" w:author="Stephane Thanassekos" w:date="2018-11-01T13:37:00Z">
              <w:r w:rsidR="00492372" w:rsidRPr="007C15F5">
                <w:t>1</w:t>
              </w:r>
              <w:r w:rsidR="00492372">
                <w:t>9</w:t>
              </w:r>
              <w:r w:rsidR="00492372" w:rsidRPr="007C15F5">
                <w:t xml:space="preserve"> </w:t>
              </w:r>
            </w:ins>
            <w:r w:rsidRPr="007C15F5">
              <w:t>season as follows:</w:t>
            </w:r>
          </w:p>
          <w:p w14:paraId="750EDE68" w14:textId="0F1093B3" w:rsidR="00D74514" w:rsidRPr="007C15F5" w:rsidRDefault="005F550B" w:rsidP="00492372">
            <w:pPr>
              <w:pStyle w:val="cmsubpara"/>
              <w:ind w:left="567"/>
            </w:pPr>
            <w:r>
              <w:t>(</w:t>
            </w:r>
            <w:proofErr w:type="spellStart"/>
            <w:r>
              <w:t>i</w:t>
            </w:r>
            <w:proofErr w:type="spellEnd"/>
            <w:r>
              <w:t>)</w:t>
            </w:r>
            <w:r w:rsidR="00D74514" w:rsidRPr="007C15F5">
              <w:tab/>
              <w:t>for the Ross Sea shelf survey notified by New Zealand under Conservation Measure</w:t>
            </w:r>
            <w:r w:rsidR="001E0DFF">
              <w:t xml:space="preserve"> </w:t>
            </w:r>
            <w:r w:rsidR="00D74514" w:rsidRPr="007C15F5">
              <w:t>24</w:t>
            </w:r>
            <w:r w:rsidR="00D74514" w:rsidRPr="007C15F5">
              <w:noBreakHyphen/>
              <w:t xml:space="preserve">01, to be undertaken by the vessel </w:t>
            </w:r>
            <w:r w:rsidR="00D74514" w:rsidRPr="007C15F5">
              <w:rPr>
                <w:i/>
              </w:rPr>
              <w:t>San Aotea II</w:t>
            </w:r>
            <w:r w:rsidR="00D74514" w:rsidRPr="007C15F5">
              <w:t xml:space="preserve"> – </w:t>
            </w:r>
            <w:del w:id="79" w:author="Stephane Thanassekos" w:date="2018-11-01T13:37:00Z">
              <w:r w:rsidR="00216348" w:rsidDel="00492372">
                <w:delText>45</w:delText>
              </w:r>
              <w:r w:rsidR="00216348" w:rsidRPr="007C15F5" w:rsidDel="00492372">
                <w:delText xml:space="preserve"> </w:delText>
              </w:r>
            </w:del>
            <w:ins w:id="80" w:author="Stephane Thanassekos" w:date="2018-11-01T13:37:00Z">
              <w:r w:rsidR="00492372">
                <w:t>65</w:t>
              </w:r>
              <w:r w:rsidR="00492372" w:rsidRPr="007C15F5">
                <w:t xml:space="preserve"> </w:t>
              </w:r>
            </w:ins>
            <w:r w:rsidR="00D74514" w:rsidRPr="007C15F5">
              <w:t>tonnes.</w:t>
            </w:r>
          </w:p>
        </w:tc>
      </w:tr>
      <w:tr w:rsidR="00D74514" w:rsidRPr="007C15F5" w14:paraId="15CF745F" w14:textId="77777777" w:rsidTr="00C33EEE">
        <w:trPr>
          <w:cantSplit/>
        </w:trPr>
        <w:tc>
          <w:tcPr>
            <w:tcW w:w="1355" w:type="dxa"/>
          </w:tcPr>
          <w:p w14:paraId="33B2ED6C" w14:textId="77777777" w:rsidR="00D74514" w:rsidRPr="00143BA8" w:rsidRDefault="00D74514" w:rsidP="00C33EEE">
            <w:pPr>
              <w:pStyle w:val="cmpara"/>
              <w:spacing w:after="220"/>
              <w:jc w:val="left"/>
              <w:rPr>
                <w:sz w:val="20"/>
              </w:rPr>
            </w:pPr>
          </w:p>
        </w:tc>
        <w:tc>
          <w:tcPr>
            <w:tcW w:w="538" w:type="dxa"/>
          </w:tcPr>
          <w:p w14:paraId="724B085F" w14:textId="77777777" w:rsidR="00D74514" w:rsidRPr="007C15F5" w:rsidRDefault="00D74514" w:rsidP="00C33EEE">
            <w:pPr>
              <w:pStyle w:val="cmpara"/>
              <w:spacing w:after="220"/>
            </w:pPr>
          </w:p>
        </w:tc>
        <w:tc>
          <w:tcPr>
            <w:tcW w:w="7386" w:type="dxa"/>
            <w:gridSpan w:val="2"/>
          </w:tcPr>
          <w:p w14:paraId="438D10EF" w14:textId="77777777" w:rsidR="00D74514" w:rsidRPr="007C15F5" w:rsidRDefault="00D74514" w:rsidP="00C33EEE">
            <w:pPr>
              <w:pStyle w:val="cmpara"/>
            </w:pPr>
            <w:r w:rsidRPr="007C15F5">
              <w:t>This research catch limit is fixed and shall not be modified by any overrun of the individual or combined SSRU catch limits for target or by</w:t>
            </w:r>
            <w:r w:rsidRPr="007C15F5">
              <w:noBreakHyphen/>
              <w:t xml:space="preserve">catch species in Statistical Subarea 88.1. </w:t>
            </w:r>
          </w:p>
        </w:tc>
      </w:tr>
      <w:tr w:rsidR="00D74514" w:rsidRPr="007C15F5" w14:paraId="568B2E7D" w14:textId="77777777" w:rsidTr="00C33EEE">
        <w:trPr>
          <w:cantSplit/>
        </w:trPr>
        <w:tc>
          <w:tcPr>
            <w:tcW w:w="1355" w:type="dxa"/>
          </w:tcPr>
          <w:p w14:paraId="52B0284B" w14:textId="77777777" w:rsidR="00D74514" w:rsidRPr="00143BA8" w:rsidRDefault="00D74514" w:rsidP="00C33EEE">
            <w:pPr>
              <w:pStyle w:val="cmpara"/>
              <w:spacing w:after="220"/>
              <w:jc w:val="left"/>
              <w:rPr>
                <w:sz w:val="20"/>
              </w:rPr>
            </w:pPr>
            <w:r w:rsidRPr="00143BA8">
              <w:rPr>
                <w:sz w:val="20"/>
              </w:rPr>
              <w:t>Season</w:t>
            </w:r>
          </w:p>
        </w:tc>
        <w:tc>
          <w:tcPr>
            <w:tcW w:w="538" w:type="dxa"/>
          </w:tcPr>
          <w:p w14:paraId="4B069F89" w14:textId="77777777" w:rsidR="00D74514" w:rsidRPr="007C15F5" w:rsidRDefault="00D74514" w:rsidP="00C33EEE">
            <w:pPr>
              <w:pStyle w:val="cmpara"/>
              <w:spacing w:after="220"/>
            </w:pPr>
            <w:r w:rsidRPr="007C15F5">
              <w:t>4.</w:t>
            </w:r>
          </w:p>
        </w:tc>
        <w:tc>
          <w:tcPr>
            <w:tcW w:w="7386" w:type="dxa"/>
            <w:gridSpan w:val="2"/>
          </w:tcPr>
          <w:p w14:paraId="58231FE3" w14:textId="3028256B" w:rsidR="00D74514" w:rsidRPr="007C15F5" w:rsidRDefault="00D74514" w:rsidP="00492372">
            <w:pPr>
              <w:pStyle w:val="cmpara"/>
              <w:rPr>
                <w:caps/>
              </w:rPr>
            </w:pPr>
            <w:r w:rsidRPr="007C15F5">
              <w:t xml:space="preserve">For the purpose of the exploratory longline fishery for </w:t>
            </w:r>
            <w:r w:rsidRPr="007C15F5">
              <w:rPr>
                <w:i/>
                <w:iCs/>
              </w:rPr>
              <w:t>Dissostichus</w:t>
            </w:r>
            <w:r w:rsidRPr="007C15F5">
              <w:t xml:space="preserve"> </w:t>
            </w:r>
            <w:r w:rsidRPr="007C15F5">
              <w:rPr>
                <w:i/>
              </w:rPr>
              <w:t>mawsoni</w:t>
            </w:r>
            <w:r w:rsidRPr="007C15F5">
              <w:t xml:space="preserve"> in Statistical Subarea 88.1, the </w:t>
            </w:r>
            <w:del w:id="81" w:author="Stephane Thanassekos" w:date="2018-11-01T13:38:00Z">
              <w:r w:rsidRPr="007C15F5" w:rsidDel="00492372">
                <w:delText>201</w:delText>
              </w:r>
              <w:r w:rsidR="00783126" w:rsidDel="00492372">
                <w:delText>7</w:delText>
              </w:r>
            </w:del>
            <w:ins w:id="82" w:author="Stephane Thanassekos" w:date="2018-11-01T13:38:00Z">
              <w:r w:rsidR="00492372" w:rsidRPr="007C15F5">
                <w:t>201</w:t>
              </w:r>
              <w:r w:rsidR="00492372">
                <w:t>8</w:t>
              </w:r>
            </w:ins>
            <w:r w:rsidRPr="007C15F5">
              <w:t>/</w:t>
            </w:r>
            <w:del w:id="83" w:author="Stephane Thanassekos" w:date="2018-11-01T13:38:00Z">
              <w:r w:rsidRPr="007C15F5" w:rsidDel="00492372">
                <w:delText>1</w:delText>
              </w:r>
              <w:r w:rsidR="00783126" w:rsidDel="00492372">
                <w:delText>8</w:delText>
              </w:r>
              <w:r w:rsidRPr="007C15F5" w:rsidDel="00492372">
                <w:delText xml:space="preserve"> </w:delText>
              </w:r>
            </w:del>
            <w:ins w:id="84" w:author="Stephane Thanassekos" w:date="2018-11-01T13:38:00Z">
              <w:r w:rsidR="00492372" w:rsidRPr="007C15F5">
                <w:t>1</w:t>
              </w:r>
              <w:r w:rsidR="00492372">
                <w:t>9</w:t>
              </w:r>
              <w:r w:rsidR="00492372" w:rsidRPr="007C15F5">
                <w:t xml:space="preserve"> </w:t>
              </w:r>
            </w:ins>
            <w:r w:rsidRPr="007C15F5">
              <w:t xml:space="preserve">season is defined as the period from 1 December </w:t>
            </w:r>
            <w:del w:id="85" w:author="Stephane Thanassekos" w:date="2018-11-01T13:38:00Z">
              <w:r w:rsidRPr="007C15F5" w:rsidDel="00492372">
                <w:delText>201</w:delText>
              </w:r>
              <w:r w:rsidR="00783126" w:rsidDel="00492372">
                <w:delText>7</w:delText>
              </w:r>
              <w:r w:rsidRPr="007C15F5" w:rsidDel="00492372">
                <w:delText xml:space="preserve"> </w:delText>
              </w:r>
            </w:del>
            <w:ins w:id="86" w:author="Stephane Thanassekos" w:date="2018-11-01T13:38:00Z">
              <w:r w:rsidR="00492372" w:rsidRPr="007C15F5">
                <w:t>201</w:t>
              </w:r>
              <w:r w:rsidR="00492372">
                <w:t>8</w:t>
              </w:r>
              <w:r w:rsidR="00492372" w:rsidRPr="007C15F5">
                <w:t xml:space="preserve"> </w:t>
              </w:r>
            </w:ins>
            <w:r w:rsidRPr="007C15F5">
              <w:t xml:space="preserve">to 31 August </w:t>
            </w:r>
            <w:del w:id="87" w:author="Stephane Thanassekos" w:date="2018-11-01T13:38:00Z">
              <w:r w:rsidRPr="007C15F5" w:rsidDel="00492372">
                <w:delText>201</w:delText>
              </w:r>
              <w:r w:rsidR="00783126" w:rsidDel="00492372">
                <w:delText>8</w:delText>
              </w:r>
            </w:del>
            <w:ins w:id="88" w:author="Stephane Thanassekos" w:date="2018-11-01T13:38:00Z">
              <w:r w:rsidR="00492372" w:rsidRPr="007C15F5">
                <w:t>201</w:t>
              </w:r>
              <w:r w:rsidR="00492372">
                <w:t>9</w:t>
              </w:r>
            </w:ins>
            <w:r w:rsidRPr="007C15F5">
              <w:t>.</w:t>
            </w:r>
          </w:p>
        </w:tc>
      </w:tr>
      <w:tr w:rsidR="00D74514" w:rsidRPr="007C15F5" w14:paraId="71A4F251" w14:textId="77777777" w:rsidTr="00C33EEE">
        <w:trPr>
          <w:cantSplit/>
        </w:trPr>
        <w:tc>
          <w:tcPr>
            <w:tcW w:w="1355" w:type="dxa"/>
          </w:tcPr>
          <w:p w14:paraId="3483683F" w14:textId="77777777" w:rsidR="00D74514" w:rsidRPr="00143BA8" w:rsidRDefault="00D74514" w:rsidP="00C33EEE">
            <w:pPr>
              <w:pStyle w:val="cmpara"/>
              <w:spacing w:after="220"/>
              <w:jc w:val="left"/>
              <w:rPr>
                <w:sz w:val="20"/>
              </w:rPr>
            </w:pPr>
            <w:r w:rsidRPr="00143BA8">
              <w:rPr>
                <w:sz w:val="20"/>
              </w:rPr>
              <w:t>Fishing operations</w:t>
            </w:r>
          </w:p>
        </w:tc>
        <w:tc>
          <w:tcPr>
            <w:tcW w:w="538" w:type="dxa"/>
          </w:tcPr>
          <w:p w14:paraId="304315E0" w14:textId="77777777" w:rsidR="00D74514" w:rsidRPr="007C15F5" w:rsidRDefault="00D74514" w:rsidP="00C33EEE">
            <w:pPr>
              <w:pStyle w:val="cmpara"/>
              <w:spacing w:after="220"/>
            </w:pPr>
            <w:r w:rsidRPr="007C15F5">
              <w:t>5.</w:t>
            </w:r>
          </w:p>
        </w:tc>
        <w:tc>
          <w:tcPr>
            <w:tcW w:w="7386" w:type="dxa"/>
            <w:gridSpan w:val="2"/>
          </w:tcPr>
          <w:p w14:paraId="18AAF5D0" w14:textId="77777777" w:rsidR="00D74514" w:rsidRPr="007C15F5" w:rsidRDefault="00D74514" w:rsidP="00C33EEE">
            <w:pPr>
              <w:pStyle w:val="cmpara"/>
              <w:rPr>
                <w:color w:val="000000"/>
              </w:rPr>
            </w:pPr>
            <w:r w:rsidRPr="007C15F5">
              <w:t xml:space="preserve">The exploratory longline fishery for </w:t>
            </w:r>
            <w:r w:rsidRPr="007C15F5">
              <w:rPr>
                <w:i/>
                <w:iCs/>
              </w:rPr>
              <w:t>Dissostichus</w:t>
            </w:r>
            <w:r w:rsidRPr="007C15F5">
              <w:t xml:space="preserve"> </w:t>
            </w:r>
            <w:r w:rsidRPr="007C15F5">
              <w:rPr>
                <w:i/>
              </w:rPr>
              <w:t>mawsoni</w:t>
            </w:r>
            <w:r w:rsidRPr="007C15F5">
              <w:t xml:space="preserve"> in Statistical Subarea 88.1 shall be carried out in accordance with the provisions of Conservation Measure 41-01, except paragraph 6.</w:t>
            </w:r>
          </w:p>
        </w:tc>
      </w:tr>
      <w:tr w:rsidR="00D74514" w:rsidRPr="007C15F5" w14:paraId="622D56AD" w14:textId="77777777" w:rsidTr="00C33EEE">
        <w:trPr>
          <w:cantSplit/>
        </w:trPr>
        <w:tc>
          <w:tcPr>
            <w:tcW w:w="1355" w:type="dxa"/>
          </w:tcPr>
          <w:p w14:paraId="5FF111BF" w14:textId="77777777" w:rsidR="00D74514" w:rsidRPr="00143BA8" w:rsidRDefault="00D74514" w:rsidP="00C33EEE">
            <w:pPr>
              <w:pStyle w:val="cmpara"/>
              <w:spacing w:after="220"/>
              <w:jc w:val="left"/>
              <w:rPr>
                <w:sz w:val="20"/>
              </w:rPr>
            </w:pPr>
            <w:r w:rsidRPr="00143BA8">
              <w:rPr>
                <w:sz w:val="20"/>
              </w:rPr>
              <w:t>By-catch</w:t>
            </w:r>
          </w:p>
        </w:tc>
        <w:tc>
          <w:tcPr>
            <w:tcW w:w="538" w:type="dxa"/>
          </w:tcPr>
          <w:p w14:paraId="3E42C433" w14:textId="77777777" w:rsidR="00D74514" w:rsidRPr="007C15F5" w:rsidRDefault="00D74514" w:rsidP="00C33EEE">
            <w:pPr>
              <w:pStyle w:val="cmpara"/>
              <w:spacing w:after="220"/>
            </w:pPr>
            <w:r w:rsidRPr="007C15F5">
              <w:t>6.</w:t>
            </w:r>
          </w:p>
        </w:tc>
        <w:tc>
          <w:tcPr>
            <w:tcW w:w="7386" w:type="dxa"/>
            <w:gridSpan w:val="2"/>
          </w:tcPr>
          <w:p w14:paraId="593EBE3F" w14:textId="065F02DD" w:rsidR="00216348" w:rsidRDefault="00216348" w:rsidP="00C33EEE">
            <w:pPr>
              <w:pStyle w:val="cmpara"/>
            </w:pPr>
            <w:r w:rsidRPr="00216348">
              <w:t>The by-catch limits for Statistical Subarea 88.2 SSRUs A</w:t>
            </w:r>
            <w:r w:rsidR="005F550B">
              <w:t>–</w:t>
            </w:r>
            <w:r w:rsidRPr="00216348">
              <w:t>B are included in the by-catch limits in this paragraph. This paragraph also applies to Statistical Subarea 88.2 SSRUs A</w:t>
            </w:r>
            <w:r w:rsidR="005F550B">
              <w:t>–</w:t>
            </w:r>
            <w:r w:rsidRPr="00216348">
              <w:t>B.</w:t>
            </w:r>
          </w:p>
          <w:p w14:paraId="226D9D04" w14:textId="16D2505C" w:rsidR="00D74514" w:rsidRPr="007C15F5" w:rsidRDefault="00D74514" w:rsidP="00492372">
            <w:pPr>
              <w:pStyle w:val="cmpara"/>
            </w:pPr>
            <w:r w:rsidRPr="007C15F5">
              <w:t>The total by-catch</w:t>
            </w:r>
            <w:r w:rsidR="00216348" w:rsidRPr="00216348">
              <w:rPr>
                <w:vertAlign w:val="superscript"/>
              </w:rPr>
              <w:t>1</w:t>
            </w:r>
            <w:r w:rsidRPr="007C15F5">
              <w:t xml:space="preserve"> in the </w:t>
            </w:r>
            <w:del w:id="89" w:author="Stephane Thanassekos" w:date="2018-11-01T13:38:00Z">
              <w:r w:rsidRPr="007C15F5" w:rsidDel="00492372">
                <w:delText>201</w:delText>
              </w:r>
              <w:r w:rsidR="00783126" w:rsidDel="00492372">
                <w:delText>7</w:delText>
              </w:r>
            </w:del>
            <w:ins w:id="90" w:author="Stephane Thanassekos" w:date="2018-11-01T13:38:00Z">
              <w:r w:rsidR="00492372" w:rsidRPr="007C15F5">
                <w:t>201</w:t>
              </w:r>
              <w:r w:rsidR="00492372">
                <w:t>8</w:t>
              </w:r>
            </w:ins>
            <w:r w:rsidRPr="007C15F5">
              <w:t>/</w:t>
            </w:r>
            <w:del w:id="91" w:author="Stephane Thanassekos" w:date="2018-11-01T13:38:00Z">
              <w:r w:rsidRPr="007C15F5" w:rsidDel="00492372">
                <w:delText>1</w:delText>
              </w:r>
              <w:r w:rsidR="00783126" w:rsidDel="00492372">
                <w:delText>8</w:delText>
              </w:r>
              <w:r w:rsidRPr="007C15F5" w:rsidDel="00492372">
                <w:delText xml:space="preserve"> </w:delText>
              </w:r>
            </w:del>
            <w:ins w:id="92" w:author="Stephane Thanassekos" w:date="2018-11-01T13:38:00Z">
              <w:r w:rsidR="00492372" w:rsidRPr="007C15F5">
                <w:t>1</w:t>
              </w:r>
              <w:r w:rsidR="00492372">
                <w:t>9</w:t>
              </w:r>
              <w:r w:rsidR="00492372" w:rsidRPr="007C15F5">
                <w:t xml:space="preserve"> </w:t>
              </w:r>
            </w:ins>
            <w:r w:rsidRPr="007C15F5">
              <w:t xml:space="preserve">season shall not exceed a precautionary catch limit of </w:t>
            </w:r>
            <w:r w:rsidR="00216348">
              <w:t>157</w:t>
            </w:r>
            <w:r w:rsidR="00216348" w:rsidRPr="007C15F5">
              <w:t xml:space="preserve"> </w:t>
            </w:r>
            <w:r w:rsidRPr="007C15F5">
              <w:t xml:space="preserve">tonnes of skates and rays, and </w:t>
            </w:r>
            <w:r w:rsidR="00216348">
              <w:t>485</w:t>
            </w:r>
            <w:r w:rsidR="00216348" w:rsidRPr="007C15F5">
              <w:t xml:space="preserve"> </w:t>
            </w:r>
            <w:r w:rsidRPr="007C15F5">
              <w:t xml:space="preserve">tonnes of </w:t>
            </w:r>
            <w:r w:rsidRPr="007C15F5">
              <w:rPr>
                <w:i/>
              </w:rPr>
              <w:t>Macrourus</w:t>
            </w:r>
            <w:r w:rsidRPr="007C15F5">
              <w:t xml:space="preserve"> spp. Within these total by-catch limits, individual limits will apply as follows: </w:t>
            </w:r>
          </w:p>
        </w:tc>
      </w:tr>
      <w:tr w:rsidR="00D74514" w:rsidRPr="007C15F5" w14:paraId="76555101" w14:textId="77777777" w:rsidTr="00D929E2">
        <w:tc>
          <w:tcPr>
            <w:tcW w:w="1355" w:type="dxa"/>
          </w:tcPr>
          <w:p w14:paraId="00631BD8" w14:textId="77777777" w:rsidR="00D74514" w:rsidRPr="00143BA8" w:rsidRDefault="00D74514" w:rsidP="00C33EEE">
            <w:pPr>
              <w:pStyle w:val="cmpara"/>
              <w:jc w:val="left"/>
              <w:rPr>
                <w:sz w:val="20"/>
              </w:rPr>
            </w:pPr>
          </w:p>
        </w:tc>
        <w:tc>
          <w:tcPr>
            <w:tcW w:w="538" w:type="dxa"/>
          </w:tcPr>
          <w:p w14:paraId="752FDDA5" w14:textId="77777777" w:rsidR="00D74514" w:rsidRPr="007C15F5" w:rsidRDefault="00D74514" w:rsidP="00C33EEE">
            <w:pPr>
              <w:pStyle w:val="cmpara"/>
            </w:pPr>
          </w:p>
        </w:tc>
        <w:tc>
          <w:tcPr>
            <w:tcW w:w="7386" w:type="dxa"/>
            <w:gridSpan w:val="2"/>
          </w:tcPr>
          <w:p w14:paraId="6429E1F9" w14:textId="763BEDEC" w:rsidR="00216348" w:rsidRDefault="005F550B" w:rsidP="000C277F">
            <w:pPr>
              <w:pStyle w:val="cmsubpara"/>
              <w:ind w:left="567"/>
            </w:pPr>
            <w:r>
              <w:t>(</w:t>
            </w:r>
            <w:proofErr w:type="spellStart"/>
            <w:r>
              <w:t>i</w:t>
            </w:r>
            <w:proofErr w:type="spellEnd"/>
            <w:r>
              <w:t>)</w:t>
            </w:r>
            <w:r>
              <w:tab/>
            </w:r>
            <w:r w:rsidR="00216348">
              <w:t xml:space="preserve">all areas outside the Ross Sea region marine protected area and north of 70°S, which in Statistical Subarea 88.1 include SSRU A </w:t>
            </w:r>
            <w:del w:id="93" w:author="Doro Forck" w:date="2018-11-02T14:25:00Z">
              <w:r w:rsidR="00216348" w:rsidDel="0097160C">
                <w:delText>(the by</w:delText>
              </w:r>
              <w:r w:rsidR="001E0DFF" w:rsidDel="0097160C">
                <w:noBreakHyphen/>
              </w:r>
              <w:r w:rsidR="00216348" w:rsidDel="0097160C">
                <w:delText xml:space="preserve">catch limit for SSRU A shall be reviewed by the Scientific </w:delText>
              </w:r>
              <w:r w:rsidR="00216348" w:rsidDel="0097160C">
                <w:lastRenderedPageBreak/>
                <w:delText xml:space="preserve">Committee and its working groups with a view to providing advice to the Commission at its 2018 </w:delText>
              </w:r>
            </w:del>
            <w:ins w:id="94" w:author="Stephane Thanassekos" w:date="2018-11-01T13:38:00Z">
              <w:del w:id="95" w:author="Doro Forck" w:date="2018-11-02T14:25:00Z">
                <w:r w:rsidR="00AE10F3" w:rsidDel="0097160C">
                  <w:delText xml:space="preserve">2019 </w:delText>
                </w:r>
              </w:del>
            </w:ins>
            <w:del w:id="96" w:author="Doro Forck" w:date="2018-11-02T14:25:00Z">
              <w:r w:rsidR="00216348" w:rsidDel="0097160C">
                <w:delText xml:space="preserve">meeting) </w:delText>
              </w:r>
            </w:del>
            <w:r w:rsidR="00216348">
              <w:t xml:space="preserve">and SSRUs B, C, G – </w:t>
            </w:r>
          </w:p>
          <w:p w14:paraId="60C51B2A" w14:textId="67C9DB02" w:rsidR="00216348" w:rsidRDefault="00216348" w:rsidP="000C277F">
            <w:pPr>
              <w:pStyle w:val="cmsubpara"/>
              <w:ind w:left="567"/>
            </w:pPr>
            <w:r>
              <w:tab/>
              <w:t xml:space="preserve">30 tonnes of skates and rays, 96 tonnes of </w:t>
            </w:r>
            <w:r w:rsidRPr="004E44AD">
              <w:rPr>
                <w:i/>
              </w:rPr>
              <w:t>Macrourus</w:t>
            </w:r>
            <w:r w:rsidR="00D929E2">
              <w:t xml:space="preserve"> spp., 30 </w:t>
            </w:r>
            <w:r>
              <w:t xml:space="preserve">tonnes of other species </w:t>
            </w:r>
          </w:p>
          <w:p w14:paraId="6E1D0A47" w14:textId="4DEA9621" w:rsidR="00216348" w:rsidRDefault="005F550B" w:rsidP="000C277F">
            <w:pPr>
              <w:pStyle w:val="cmsubpara"/>
              <w:ind w:left="567"/>
            </w:pPr>
            <w:r>
              <w:t>(ii)</w:t>
            </w:r>
            <w:r>
              <w:tab/>
            </w:r>
            <w:r w:rsidR="00216348">
              <w:t xml:space="preserve">all areas outside the Ross Sea region marine protected area and south of 70°S, which in Statistical Subarea 88.1 include SSRUs G, H, I, J and K – </w:t>
            </w:r>
          </w:p>
          <w:p w14:paraId="4C10E8A9" w14:textId="3B8E4CC0" w:rsidR="00216348" w:rsidRDefault="00216348" w:rsidP="000C277F">
            <w:pPr>
              <w:pStyle w:val="cmsubpara"/>
              <w:ind w:left="567"/>
            </w:pPr>
            <w:r>
              <w:tab/>
              <w:t xml:space="preserve">104 tonnes of skates and rays, 317 tonnes of </w:t>
            </w:r>
            <w:r w:rsidRPr="004E44AD">
              <w:rPr>
                <w:i/>
              </w:rPr>
              <w:t>Macrourus</w:t>
            </w:r>
            <w:r>
              <w:t xml:space="preserve"> spp., 104</w:t>
            </w:r>
            <w:r w:rsidR="001E0DFF">
              <w:t> </w:t>
            </w:r>
            <w:r>
              <w:t>tonnes of other species</w:t>
            </w:r>
          </w:p>
          <w:p w14:paraId="726C2B38" w14:textId="5D2336A4" w:rsidR="00216348" w:rsidRDefault="005F550B" w:rsidP="000C277F">
            <w:pPr>
              <w:pStyle w:val="cmsubpara"/>
              <w:ind w:left="567"/>
            </w:pPr>
            <w:r>
              <w:t>(iii)</w:t>
            </w:r>
            <w:r>
              <w:tab/>
            </w:r>
            <w:r w:rsidR="00216348">
              <w:t>Special Research Zone of the Ross Sea region marine protected area</w:t>
            </w:r>
            <w:r w:rsidR="001E0DFF">
              <w:t> </w:t>
            </w:r>
            <w:r w:rsidR="00216348">
              <w:t>–</w:t>
            </w:r>
          </w:p>
          <w:p w14:paraId="16CE9AA9" w14:textId="77777777" w:rsidR="00216348" w:rsidRDefault="00216348" w:rsidP="000C277F">
            <w:pPr>
              <w:pStyle w:val="cmsubpara"/>
              <w:ind w:left="567"/>
            </w:pPr>
            <w:r>
              <w:tab/>
              <w:t xml:space="preserve">23 tonnes of skates and rays, 72 tonnes of </w:t>
            </w:r>
            <w:r w:rsidRPr="004E44AD">
              <w:rPr>
                <w:i/>
              </w:rPr>
              <w:t>Macrourus</w:t>
            </w:r>
            <w:r>
              <w:t xml:space="preserve"> spp., 23 tonnes of other species.</w:t>
            </w:r>
          </w:p>
          <w:p w14:paraId="2EC74EAC" w14:textId="77777777" w:rsidR="00216348" w:rsidRDefault="00216348" w:rsidP="000C277F">
            <w:pPr>
              <w:pStyle w:val="cmpara"/>
            </w:pPr>
            <w:r>
              <w:t>For the purposes of this paragraph ‘</w:t>
            </w:r>
            <w:r w:rsidRPr="004E44AD">
              <w:rPr>
                <w:i/>
              </w:rPr>
              <w:t>Macrourus</w:t>
            </w:r>
            <w:r>
              <w:t xml:space="preserve"> spp.’ and ‘skates and rays’ should each be counted as a single species.</w:t>
            </w:r>
          </w:p>
          <w:p w14:paraId="3B2F65EF" w14:textId="0DDBF9D0" w:rsidR="001B52A2" w:rsidRDefault="00216348" w:rsidP="001B52A2">
            <w:pPr>
              <w:pStyle w:val="cmpara"/>
            </w:pPr>
            <w:r>
              <w:t xml:space="preserve">On all vessels, all skates and rays must be brought on board or alongside the </w:t>
            </w:r>
            <w:r w:rsidR="00B75FB8">
              <w:t>vessel</w:t>
            </w:r>
            <w:r>
              <w:t xml:space="preserve"> to be checked for tags and for their condition to be assessed. Recaptured tagged skates and rays, as per Conservation Measure 41-01, Annex 41-01/C, paragraphs 2(vii) and (ix), should not be re-released. </w:t>
            </w:r>
            <w:r w:rsidR="001B52A2">
              <w:t>Unless otherwise specified by scientific observers, all other skates and rays caught alive and with a high probability of survival should be released alive, by vessels, by cutting snoods, and when practical, removing the hooks, and the number should be recorded and reported to the Secretariat.</w:t>
            </w:r>
          </w:p>
          <w:p w14:paraId="24664530" w14:textId="77777777" w:rsidR="001B52A2" w:rsidRDefault="001B52A2" w:rsidP="001B52A2">
            <w:pPr>
              <w:pStyle w:val="cmpara"/>
            </w:pPr>
            <w:r>
              <w:t>If the by-catch of any one species is equal to, or greater than, 1 tonne in any one haul or set</w:t>
            </w:r>
            <w:r>
              <w:rPr>
                <w:vertAlign w:val="superscript"/>
              </w:rPr>
              <w:t>2</w:t>
            </w:r>
            <w:r w:rsidRPr="000C277F">
              <w:t>,</w:t>
            </w:r>
            <w:r>
              <w:rPr>
                <w:vertAlign w:val="superscript"/>
              </w:rPr>
              <w:t xml:space="preserve"> </w:t>
            </w:r>
            <w:r>
              <w:t>then the fishing vessel shall move to another location at least 5 n miles</w:t>
            </w:r>
            <w:r>
              <w:rPr>
                <w:vertAlign w:val="superscript"/>
              </w:rPr>
              <w:t>3</w:t>
            </w:r>
            <w:r>
              <w:t xml:space="preserve"> distant. The fishing vessel shall not return to any point within 5 n miles of the location where the by-catch exceeded 1 tonne for a period of at least five days</w:t>
            </w:r>
            <w:r>
              <w:rPr>
                <w:vertAlign w:val="superscript"/>
              </w:rPr>
              <w:t>4</w:t>
            </w:r>
            <w:r>
              <w:t>. The location where the by-catch exceeded 1 tonne is defined as the path</w:t>
            </w:r>
            <w:r>
              <w:rPr>
                <w:vertAlign w:val="superscript"/>
              </w:rPr>
              <w:t>5</w:t>
            </w:r>
            <w:r>
              <w:t xml:space="preserve"> followed by the fishing vessel.</w:t>
            </w:r>
          </w:p>
          <w:p w14:paraId="37EF6729" w14:textId="7730F026" w:rsidR="00D929E2" w:rsidRPr="007C15F5" w:rsidRDefault="001B52A2" w:rsidP="001B52A2">
            <w:pPr>
              <w:pStyle w:val="cmpara"/>
            </w:pPr>
            <w:r>
              <w:t xml:space="preserve">If the catch of </w:t>
            </w:r>
            <w:r w:rsidRPr="004E44AD">
              <w:rPr>
                <w:i/>
              </w:rPr>
              <w:t>Macrourus</w:t>
            </w:r>
            <w:r>
              <w:t xml:space="preserve"> spp. taken by a single vessel in any two 10-day periods</w:t>
            </w:r>
            <w:r>
              <w:rPr>
                <w:vertAlign w:val="superscript"/>
              </w:rPr>
              <w:t>6</w:t>
            </w:r>
            <w:r>
              <w:t xml:space="preserve"> in any SSRU exceeds 1 500 kg in each 10-day period and exceeds 16% of the catch of </w:t>
            </w:r>
            <w:r w:rsidRPr="004E44AD">
              <w:rPr>
                <w:i/>
              </w:rPr>
              <w:t>Dissostichus</w:t>
            </w:r>
            <w:r>
              <w:t xml:space="preserve"> spp. by that vessel in that SSRU, the vessel shall cease fishing in that SSRU for the remainder of the season.</w:t>
            </w:r>
          </w:p>
        </w:tc>
      </w:tr>
      <w:tr w:rsidR="00D74514" w:rsidRPr="007C15F5" w14:paraId="43C4A56A" w14:textId="77777777" w:rsidTr="00C33EEE">
        <w:trPr>
          <w:cantSplit/>
        </w:trPr>
        <w:tc>
          <w:tcPr>
            <w:tcW w:w="1355" w:type="dxa"/>
          </w:tcPr>
          <w:p w14:paraId="42118DA5" w14:textId="77777777" w:rsidR="00D74514" w:rsidRPr="00143BA8" w:rsidRDefault="00D74514" w:rsidP="00C33EEE">
            <w:pPr>
              <w:pStyle w:val="cmpara"/>
              <w:jc w:val="left"/>
              <w:rPr>
                <w:sz w:val="20"/>
              </w:rPr>
            </w:pPr>
            <w:r w:rsidRPr="00143BA8">
              <w:rPr>
                <w:sz w:val="20"/>
              </w:rPr>
              <w:lastRenderedPageBreak/>
              <w:t>Mitigation</w:t>
            </w:r>
          </w:p>
        </w:tc>
        <w:tc>
          <w:tcPr>
            <w:tcW w:w="538" w:type="dxa"/>
          </w:tcPr>
          <w:p w14:paraId="3673DD91" w14:textId="77777777" w:rsidR="00D74514" w:rsidRPr="007C15F5" w:rsidRDefault="00D74514" w:rsidP="00C33EEE">
            <w:pPr>
              <w:pStyle w:val="cmpara"/>
            </w:pPr>
            <w:r w:rsidRPr="007C15F5">
              <w:t>7.</w:t>
            </w:r>
          </w:p>
        </w:tc>
        <w:tc>
          <w:tcPr>
            <w:tcW w:w="7386" w:type="dxa"/>
            <w:gridSpan w:val="2"/>
          </w:tcPr>
          <w:p w14:paraId="1607C95D" w14:textId="77777777" w:rsidR="00D74514" w:rsidRPr="007C15F5" w:rsidRDefault="00D74514" w:rsidP="00C33EEE">
            <w:pPr>
              <w:pStyle w:val="cmpara"/>
            </w:pPr>
            <w:r w:rsidRPr="007C15F5">
              <w:t xml:space="preserve">The exploratory longline fishery for </w:t>
            </w:r>
            <w:r w:rsidRPr="007C15F5">
              <w:rPr>
                <w:i/>
                <w:iCs/>
              </w:rPr>
              <w:t>Dissostichus</w:t>
            </w:r>
            <w:r w:rsidRPr="007C15F5">
              <w:t xml:space="preserve"> </w:t>
            </w:r>
            <w:r w:rsidRPr="007C15F5">
              <w:rPr>
                <w:i/>
              </w:rPr>
              <w:t>mawsoni</w:t>
            </w:r>
            <w:r w:rsidRPr="007C15F5">
              <w:t xml:space="preserve"> in Statistical Subarea 88.1 shall be carried out in accordance with the provisions of Conservation Measure 25-02. </w:t>
            </w:r>
          </w:p>
        </w:tc>
      </w:tr>
      <w:tr w:rsidR="00D74514" w:rsidRPr="007C15F5" w14:paraId="0994AA61" w14:textId="77777777" w:rsidTr="00C33EEE">
        <w:trPr>
          <w:cantSplit/>
        </w:trPr>
        <w:tc>
          <w:tcPr>
            <w:tcW w:w="1355" w:type="dxa"/>
          </w:tcPr>
          <w:p w14:paraId="6A0AA8EC" w14:textId="77777777" w:rsidR="00D74514" w:rsidRPr="00143BA8" w:rsidRDefault="00D74514" w:rsidP="00C33EEE">
            <w:pPr>
              <w:pStyle w:val="cmpara"/>
              <w:jc w:val="left"/>
              <w:rPr>
                <w:sz w:val="20"/>
              </w:rPr>
            </w:pPr>
          </w:p>
        </w:tc>
        <w:tc>
          <w:tcPr>
            <w:tcW w:w="538" w:type="dxa"/>
          </w:tcPr>
          <w:p w14:paraId="35FF68A3" w14:textId="77777777" w:rsidR="00D74514" w:rsidRPr="007C15F5" w:rsidRDefault="00D74514" w:rsidP="00C33EEE">
            <w:pPr>
              <w:pStyle w:val="cmpara"/>
            </w:pPr>
            <w:r w:rsidRPr="007C15F5">
              <w:t>8.</w:t>
            </w:r>
          </w:p>
        </w:tc>
        <w:tc>
          <w:tcPr>
            <w:tcW w:w="7386" w:type="dxa"/>
            <w:gridSpan w:val="2"/>
          </w:tcPr>
          <w:p w14:paraId="225DF535" w14:textId="01481679" w:rsidR="00D74514" w:rsidRPr="007C15F5" w:rsidRDefault="00D74514" w:rsidP="00C33EEE">
            <w:pPr>
              <w:pStyle w:val="cmpara"/>
            </w:pPr>
            <w:r w:rsidRPr="007C15F5">
              <w:t>Any vessel catching a total of three (3) seabirds shall immediately change to night setting only (i.e. setting only during the hours of darkness between the times of nautical twilight</w:t>
            </w:r>
            <w:r w:rsidR="009B5C21">
              <w:rPr>
                <w:vertAlign w:val="superscript"/>
              </w:rPr>
              <w:t>7</w:t>
            </w:r>
            <w:r w:rsidRPr="007C15F5">
              <w:t>)</w:t>
            </w:r>
            <w:r w:rsidR="009B5C21">
              <w:rPr>
                <w:vertAlign w:val="superscript"/>
              </w:rPr>
              <w:t>8</w:t>
            </w:r>
            <w:r w:rsidRPr="007C15F5">
              <w:t xml:space="preserve">. </w:t>
            </w:r>
          </w:p>
        </w:tc>
      </w:tr>
      <w:tr w:rsidR="00D74514" w:rsidRPr="007C15F5" w14:paraId="7932023E" w14:textId="77777777" w:rsidTr="00C33EEE">
        <w:trPr>
          <w:cantSplit/>
        </w:trPr>
        <w:tc>
          <w:tcPr>
            <w:tcW w:w="1355" w:type="dxa"/>
          </w:tcPr>
          <w:p w14:paraId="27590097" w14:textId="77777777" w:rsidR="00D74514" w:rsidRPr="00143BA8" w:rsidRDefault="00D74514" w:rsidP="00C33EEE">
            <w:pPr>
              <w:pStyle w:val="cmpara"/>
              <w:jc w:val="left"/>
              <w:rPr>
                <w:sz w:val="20"/>
              </w:rPr>
            </w:pPr>
            <w:r w:rsidRPr="00143BA8">
              <w:rPr>
                <w:sz w:val="20"/>
              </w:rPr>
              <w:t>Observers</w:t>
            </w:r>
          </w:p>
        </w:tc>
        <w:tc>
          <w:tcPr>
            <w:tcW w:w="538" w:type="dxa"/>
          </w:tcPr>
          <w:p w14:paraId="1C7860EC" w14:textId="77777777" w:rsidR="00D74514" w:rsidRPr="007C15F5" w:rsidRDefault="00D74514" w:rsidP="00C33EEE">
            <w:pPr>
              <w:pStyle w:val="cmpara"/>
            </w:pPr>
            <w:r w:rsidRPr="007C15F5">
              <w:t>9.</w:t>
            </w:r>
          </w:p>
        </w:tc>
        <w:tc>
          <w:tcPr>
            <w:tcW w:w="7386" w:type="dxa"/>
            <w:gridSpan w:val="2"/>
          </w:tcPr>
          <w:p w14:paraId="512AFCD3" w14:textId="77777777" w:rsidR="00D74514" w:rsidRPr="007C15F5" w:rsidRDefault="00D74514"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D74514" w:rsidRPr="007C15F5" w14:paraId="09DF6E80" w14:textId="77777777" w:rsidTr="00C33EEE">
        <w:trPr>
          <w:cantSplit/>
        </w:trPr>
        <w:tc>
          <w:tcPr>
            <w:tcW w:w="1355" w:type="dxa"/>
          </w:tcPr>
          <w:p w14:paraId="0E8CEB54" w14:textId="77777777" w:rsidR="00D74514" w:rsidRPr="00143BA8" w:rsidRDefault="00D74514" w:rsidP="00C33EEE">
            <w:pPr>
              <w:pStyle w:val="cmpara"/>
              <w:jc w:val="left"/>
              <w:rPr>
                <w:sz w:val="20"/>
              </w:rPr>
            </w:pPr>
            <w:r w:rsidRPr="00143BA8">
              <w:rPr>
                <w:sz w:val="20"/>
              </w:rPr>
              <w:t>VMS</w:t>
            </w:r>
          </w:p>
        </w:tc>
        <w:tc>
          <w:tcPr>
            <w:tcW w:w="538" w:type="dxa"/>
          </w:tcPr>
          <w:p w14:paraId="4F2CB115" w14:textId="77777777" w:rsidR="00D74514" w:rsidRPr="007C15F5" w:rsidRDefault="00D74514" w:rsidP="00C33EEE">
            <w:pPr>
              <w:pStyle w:val="cmpara"/>
            </w:pPr>
            <w:r w:rsidRPr="007C15F5">
              <w:t>10.</w:t>
            </w:r>
          </w:p>
        </w:tc>
        <w:tc>
          <w:tcPr>
            <w:tcW w:w="7386" w:type="dxa"/>
            <w:gridSpan w:val="2"/>
          </w:tcPr>
          <w:p w14:paraId="00925BFB" w14:textId="77777777" w:rsidR="00D74514" w:rsidRPr="007C15F5" w:rsidRDefault="00D74514" w:rsidP="00C33EEE">
            <w:pPr>
              <w:pStyle w:val="cmpara"/>
              <w:rPr>
                <w:color w:val="000000"/>
              </w:rPr>
            </w:pPr>
            <w:r w:rsidRPr="007C15F5">
              <w:t>Each vessel participating in this exploratory longline fishery shall be required to operate a VMS at all times, in accordance with Conservation Measure 10-04.</w:t>
            </w:r>
          </w:p>
        </w:tc>
      </w:tr>
      <w:tr w:rsidR="00D74514" w:rsidRPr="007C15F5" w14:paraId="706EE808" w14:textId="77777777" w:rsidTr="00C33EEE">
        <w:trPr>
          <w:cantSplit/>
        </w:trPr>
        <w:tc>
          <w:tcPr>
            <w:tcW w:w="1355" w:type="dxa"/>
          </w:tcPr>
          <w:p w14:paraId="5B9ECE76" w14:textId="77777777" w:rsidR="00D74514" w:rsidRPr="00143BA8" w:rsidRDefault="00D74514" w:rsidP="00C33EEE">
            <w:pPr>
              <w:pStyle w:val="cmpara"/>
              <w:jc w:val="left"/>
              <w:rPr>
                <w:sz w:val="20"/>
              </w:rPr>
            </w:pPr>
            <w:r w:rsidRPr="00143BA8">
              <w:rPr>
                <w:sz w:val="20"/>
              </w:rPr>
              <w:t>CDS</w:t>
            </w:r>
          </w:p>
        </w:tc>
        <w:tc>
          <w:tcPr>
            <w:tcW w:w="538" w:type="dxa"/>
          </w:tcPr>
          <w:p w14:paraId="76635F6A" w14:textId="77777777" w:rsidR="00D74514" w:rsidRPr="007C15F5" w:rsidRDefault="00D74514" w:rsidP="00C33EEE">
            <w:pPr>
              <w:pStyle w:val="cmpara"/>
            </w:pPr>
            <w:r w:rsidRPr="007C15F5">
              <w:t>11.</w:t>
            </w:r>
          </w:p>
        </w:tc>
        <w:tc>
          <w:tcPr>
            <w:tcW w:w="7386" w:type="dxa"/>
            <w:gridSpan w:val="2"/>
          </w:tcPr>
          <w:p w14:paraId="5D50663C" w14:textId="77777777" w:rsidR="00D74514" w:rsidRPr="007C15F5" w:rsidRDefault="00D74514" w:rsidP="00C33EEE">
            <w:pPr>
              <w:pStyle w:val="cmpara"/>
              <w:rPr>
                <w:color w:val="000000"/>
              </w:rPr>
            </w:pPr>
            <w:r w:rsidRPr="007C15F5">
              <w:t xml:space="preserve">Each vessel participating in this exploratory longline fishery shall be required to participate in the Catch Documentation Scheme for </w:t>
            </w:r>
            <w:r w:rsidRPr="007C15F5">
              <w:rPr>
                <w:i/>
                <w:iCs/>
              </w:rPr>
              <w:t>Dissostichus</w:t>
            </w:r>
            <w:r w:rsidRPr="007C15F5">
              <w:t xml:space="preserve"> spp., in accordance with Conservation Measure 10-05.</w:t>
            </w:r>
          </w:p>
        </w:tc>
      </w:tr>
      <w:tr w:rsidR="00D74514" w:rsidRPr="007C15F5" w14:paraId="07CA1D5D" w14:textId="77777777" w:rsidTr="00C33EEE">
        <w:trPr>
          <w:cantSplit/>
        </w:trPr>
        <w:tc>
          <w:tcPr>
            <w:tcW w:w="1355" w:type="dxa"/>
          </w:tcPr>
          <w:p w14:paraId="69C86BBF" w14:textId="77777777" w:rsidR="00D74514" w:rsidRPr="00143BA8" w:rsidRDefault="00D74514" w:rsidP="00C33EEE">
            <w:pPr>
              <w:pStyle w:val="cmpara"/>
              <w:jc w:val="left"/>
              <w:rPr>
                <w:sz w:val="20"/>
              </w:rPr>
            </w:pPr>
            <w:r w:rsidRPr="00143BA8">
              <w:rPr>
                <w:sz w:val="20"/>
              </w:rPr>
              <w:t>Research</w:t>
            </w:r>
          </w:p>
        </w:tc>
        <w:tc>
          <w:tcPr>
            <w:tcW w:w="538" w:type="dxa"/>
          </w:tcPr>
          <w:p w14:paraId="48DA6D81" w14:textId="77777777" w:rsidR="00D74514" w:rsidRPr="007C15F5" w:rsidRDefault="00D74514" w:rsidP="00C33EEE">
            <w:pPr>
              <w:pStyle w:val="cmpara"/>
            </w:pPr>
            <w:r w:rsidRPr="007C15F5">
              <w:t>12.</w:t>
            </w:r>
          </w:p>
        </w:tc>
        <w:tc>
          <w:tcPr>
            <w:tcW w:w="7386" w:type="dxa"/>
            <w:gridSpan w:val="2"/>
          </w:tcPr>
          <w:p w14:paraId="7EA7D603" w14:textId="77777777" w:rsidR="00D74514" w:rsidRPr="007C15F5" w:rsidRDefault="00D74514" w:rsidP="00C33EEE">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 The setting of research hauls (Conservation Measure 41-01, Annex 41-01/B, paragraphs 3 and 4) is not required.</w:t>
            </w:r>
          </w:p>
        </w:tc>
      </w:tr>
      <w:tr w:rsidR="00D74514" w:rsidRPr="007C15F5" w14:paraId="4D4841FA" w14:textId="77777777" w:rsidTr="00C33EEE">
        <w:trPr>
          <w:cantSplit/>
        </w:trPr>
        <w:tc>
          <w:tcPr>
            <w:tcW w:w="1355" w:type="dxa"/>
          </w:tcPr>
          <w:p w14:paraId="6FD53E64" w14:textId="77777777" w:rsidR="00D74514" w:rsidRPr="00143BA8" w:rsidRDefault="00D74514" w:rsidP="00C33EEE">
            <w:pPr>
              <w:pStyle w:val="cmpara"/>
              <w:jc w:val="left"/>
              <w:rPr>
                <w:sz w:val="20"/>
              </w:rPr>
            </w:pPr>
          </w:p>
        </w:tc>
        <w:tc>
          <w:tcPr>
            <w:tcW w:w="538" w:type="dxa"/>
          </w:tcPr>
          <w:p w14:paraId="62C778B7" w14:textId="77777777" w:rsidR="00D74514" w:rsidRPr="007C15F5" w:rsidRDefault="00D74514" w:rsidP="00C33EEE">
            <w:pPr>
              <w:pStyle w:val="cmpara"/>
            </w:pPr>
            <w:r w:rsidRPr="007C15F5">
              <w:t>13.</w:t>
            </w:r>
          </w:p>
        </w:tc>
        <w:tc>
          <w:tcPr>
            <w:tcW w:w="7386" w:type="dxa"/>
            <w:gridSpan w:val="2"/>
          </w:tcPr>
          <w:p w14:paraId="196EDE06" w14:textId="77777777" w:rsidR="00D74514" w:rsidRPr="007C15F5" w:rsidRDefault="00D74514" w:rsidP="00C33EEE">
            <w:pPr>
              <w:pStyle w:val="cmpara"/>
            </w:pPr>
            <w:r w:rsidRPr="007C15F5">
              <w:t xml:space="preserve">Toothfish shall be tagged at a rate of at least one fish per tonne green weight caught in each SSRU. </w:t>
            </w:r>
          </w:p>
        </w:tc>
      </w:tr>
      <w:tr w:rsidR="00D74514" w:rsidRPr="007C15F5" w14:paraId="2066F35F" w14:textId="77777777" w:rsidTr="00C33EEE">
        <w:trPr>
          <w:cantSplit/>
        </w:trPr>
        <w:tc>
          <w:tcPr>
            <w:tcW w:w="1355" w:type="dxa"/>
          </w:tcPr>
          <w:p w14:paraId="6817FDB1" w14:textId="77777777" w:rsidR="00D74514" w:rsidRPr="00143BA8" w:rsidRDefault="00D74514" w:rsidP="00C33EEE">
            <w:pPr>
              <w:pStyle w:val="cmpara"/>
              <w:jc w:val="left"/>
              <w:rPr>
                <w:sz w:val="20"/>
              </w:rPr>
            </w:pPr>
            <w:r w:rsidRPr="00143BA8">
              <w:rPr>
                <w:sz w:val="20"/>
              </w:rPr>
              <w:t>Data: catch/effort</w:t>
            </w:r>
          </w:p>
        </w:tc>
        <w:tc>
          <w:tcPr>
            <w:tcW w:w="538" w:type="dxa"/>
          </w:tcPr>
          <w:p w14:paraId="7B6C6263" w14:textId="77777777" w:rsidR="00D74514" w:rsidRPr="007C15F5" w:rsidRDefault="00D74514" w:rsidP="00C33EEE">
            <w:pPr>
              <w:pStyle w:val="cmpara"/>
            </w:pPr>
            <w:r w:rsidRPr="007C15F5">
              <w:t>14.</w:t>
            </w:r>
          </w:p>
        </w:tc>
        <w:tc>
          <w:tcPr>
            <w:tcW w:w="7386" w:type="dxa"/>
            <w:gridSpan w:val="2"/>
          </w:tcPr>
          <w:p w14:paraId="0807702C" w14:textId="5D97A417" w:rsidR="00D74514" w:rsidRPr="007C15F5" w:rsidRDefault="00D74514" w:rsidP="00AE10F3">
            <w:pPr>
              <w:pStyle w:val="cmpara"/>
              <w:rPr>
                <w:caps/>
              </w:rPr>
            </w:pPr>
            <w:r w:rsidRPr="007C15F5">
              <w:t xml:space="preserve">For the purpose of implementing this conservation measure in the </w:t>
            </w:r>
            <w:del w:id="97" w:author="Stephane Thanassekos" w:date="2018-11-01T13:40:00Z">
              <w:r w:rsidRPr="007C15F5" w:rsidDel="00AE10F3">
                <w:delText>201</w:delText>
              </w:r>
              <w:r w:rsidR="00783126" w:rsidDel="00AE10F3">
                <w:delText>7</w:delText>
              </w:r>
            </w:del>
            <w:ins w:id="98" w:author="Stephane Thanassekos" w:date="2018-11-01T13:40:00Z">
              <w:r w:rsidR="00AE10F3" w:rsidRPr="007C15F5">
                <w:t>201</w:t>
              </w:r>
              <w:r w:rsidR="00AE10F3">
                <w:t>8</w:t>
              </w:r>
            </w:ins>
            <w:r w:rsidRPr="007C15F5">
              <w:t>/</w:t>
            </w:r>
            <w:del w:id="99" w:author="Stephane Thanassekos" w:date="2018-11-01T13:40:00Z">
              <w:r w:rsidRPr="007C15F5" w:rsidDel="00AE10F3">
                <w:delText>1</w:delText>
              </w:r>
              <w:r w:rsidR="00783126" w:rsidDel="00AE10F3">
                <w:delText>8</w:delText>
              </w:r>
              <w:r w:rsidRPr="007C15F5" w:rsidDel="00AE10F3">
                <w:delText xml:space="preserve"> </w:delText>
              </w:r>
            </w:del>
            <w:ins w:id="100" w:author="Stephane Thanassekos" w:date="2018-11-01T13:40:00Z">
              <w:r w:rsidR="00AE10F3" w:rsidRPr="007C15F5">
                <w:t>1</w:t>
              </w:r>
              <w:r w:rsidR="00AE10F3">
                <w:t>9</w:t>
              </w:r>
              <w:r w:rsidR="00AE10F3" w:rsidRPr="007C15F5">
                <w:t xml:space="preserve"> </w:t>
              </w:r>
            </w:ins>
            <w:r w:rsidRPr="007C15F5">
              <w:t>season, the following shall apply:</w:t>
            </w:r>
          </w:p>
        </w:tc>
      </w:tr>
      <w:tr w:rsidR="00D74514" w:rsidRPr="007C15F5" w14:paraId="7179382E" w14:textId="77777777" w:rsidTr="00C33EEE">
        <w:trPr>
          <w:cantSplit/>
        </w:trPr>
        <w:tc>
          <w:tcPr>
            <w:tcW w:w="1355" w:type="dxa"/>
          </w:tcPr>
          <w:p w14:paraId="28933D82" w14:textId="77777777" w:rsidR="00D74514" w:rsidRPr="00143BA8" w:rsidRDefault="00D74514" w:rsidP="00C33EEE">
            <w:pPr>
              <w:spacing w:after="220"/>
              <w:rPr>
                <w:sz w:val="20"/>
              </w:rPr>
            </w:pPr>
          </w:p>
        </w:tc>
        <w:tc>
          <w:tcPr>
            <w:tcW w:w="538" w:type="dxa"/>
          </w:tcPr>
          <w:p w14:paraId="33AB6E55" w14:textId="77777777" w:rsidR="00D74514" w:rsidRPr="007C15F5" w:rsidRDefault="00D74514" w:rsidP="00C33EEE">
            <w:pPr>
              <w:spacing w:after="220"/>
            </w:pPr>
          </w:p>
        </w:tc>
        <w:tc>
          <w:tcPr>
            <w:tcW w:w="7386" w:type="dxa"/>
            <w:gridSpan w:val="2"/>
          </w:tcPr>
          <w:p w14:paraId="52B47F01" w14:textId="77777777" w:rsidR="00D74514" w:rsidRPr="007C15F5" w:rsidRDefault="00D74514" w:rsidP="00C33EEE">
            <w:pPr>
              <w:pStyle w:val="cmsubpara"/>
              <w:ind w:left="567"/>
            </w:pPr>
            <w:r w:rsidRPr="007C15F5">
              <w:t>(</w:t>
            </w:r>
            <w:proofErr w:type="spellStart"/>
            <w:r w:rsidRPr="007C15F5">
              <w:t>i</w:t>
            </w:r>
            <w:proofErr w:type="spellEnd"/>
            <w:r w:rsidRPr="007C15F5">
              <w:t>)</w:t>
            </w:r>
            <w:r w:rsidRPr="007C15F5">
              <w:tab/>
              <w:t xml:space="preserve">the Daily Catch and Effort Reporting System set out in Conservation Measure 23-07; </w:t>
            </w:r>
          </w:p>
        </w:tc>
      </w:tr>
      <w:tr w:rsidR="00D74514" w:rsidRPr="007C15F5" w14:paraId="7E5C5B3F" w14:textId="77777777" w:rsidTr="00C33EEE">
        <w:trPr>
          <w:cantSplit/>
        </w:trPr>
        <w:tc>
          <w:tcPr>
            <w:tcW w:w="1355" w:type="dxa"/>
          </w:tcPr>
          <w:p w14:paraId="526D2F5A" w14:textId="77777777" w:rsidR="00D74514" w:rsidRPr="00143BA8" w:rsidRDefault="00D74514" w:rsidP="00C33EEE">
            <w:pPr>
              <w:spacing w:after="220"/>
              <w:rPr>
                <w:sz w:val="20"/>
              </w:rPr>
            </w:pPr>
          </w:p>
        </w:tc>
        <w:tc>
          <w:tcPr>
            <w:tcW w:w="538" w:type="dxa"/>
          </w:tcPr>
          <w:p w14:paraId="41BE663D" w14:textId="77777777" w:rsidR="00D74514" w:rsidRPr="007C15F5" w:rsidRDefault="00D74514" w:rsidP="00C33EEE">
            <w:pPr>
              <w:spacing w:after="220"/>
            </w:pPr>
          </w:p>
        </w:tc>
        <w:tc>
          <w:tcPr>
            <w:tcW w:w="7386" w:type="dxa"/>
            <w:gridSpan w:val="2"/>
          </w:tcPr>
          <w:p w14:paraId="40650422" w14:textId="77777777" w:rsidR="00D74514" w:rsidRPr="007C15F5" w:rsidRDefault="00D74514"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D74514" w:rsidRPr="007C15F5" w14:paraId="25C69FD5" w14:textId="77777777" w:rsidTr="00C33EEE">
        <w:trPr>
          <w:cantSplit/>
        </w:trPr>
        <w:tc>
          <w:tcPr>
            <w:tcW w:w="1355" w:type="dxa"/>
          </w:tcPr>
          <w:p w14:paraId="38258A5B" w14:textId="77777777" w:rsidR="00D74514" w:rsidRPr="00143BA8" w:rsidRDefault="00D74514" w:rsidP="00C33EEE">
            <w:pPr>
              <w:pStyle w:val="cmpara"/>
              <w:jc w:val="left"/>
              <w:rPr>
                <w:sz w:val="20"/>
              </w:rPr>
            </w:pPr>
          </w:p>
        </w:tc>
        <w:tc>
          <w:tcPr>
            <w:tcW w:w="538" w:type="dxa"/>
          </w:tcPr>
          <w:p w14:paraId="13399250" w14:textId="77777777" w:rsidR="00D74514" w:rsidRPr="007C15F5" w:rsidRDefault="00D74514" w:rsidP="00C33EEE">
            <w:pPr>
              <w:pStyle w:val="cmpara"/>
            </w:pPr>
            <w:r w:rsidRPr="007C15F5">
              <w:t>15.</w:t>
            </w:r>
          </w:p>
        </w:tc>
        <w:tc>
          <w:tcPr>
            <w:tcW w:w="7386" w:type="dxa"/>
            <w:gridSpan w:val="2"/>
          </w:tcPr>
          <w:p w14:paraId="22AEC4F5" w14:textId="77777777" w:rsidR="00D74514" w:rsidRPr="007C15F5" w:rsidRDefault="00D74514"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7C15F5">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D74514" w:rsidRPr="007C15F5" w14:paraId="6D6E52C1" w14:textId="77777777" w:rsidTr="00C33EEE">
        <w:trPr>
          <w:cantSplit/>
        </w:trPr>
        <w:tc>
          <w:tcPr>
            <w:tcW w:w="1355" w:type="dxa"/>
          </w:tcPr>
          <w:p w14:paraId="4FEE6407" w14:textId="77777777" w:rsidR="00D74514" w:rsidRPr="00143BA8" w:rsidRDefault="00D74514" w:rsidP="00C33EEE">
            <w:pPr>
              <w:pStyle w:val="cmpara"/>
              <w:jc w:val="left"/>
              <w:rPr>
                <w:sz w:val="20"/>
              </w:rPr>
            </w:pPr>
            <w:r w:rsidRPr="00143BA8">
              <w:rPr>
                <w:sz w:val="20"/>
              </w:rPr>
              <w:t>Data: biological</w:t>
            </w:r>
          </w:p>
        </w:tc>
        <w:tc>
          <w:tcPr>
            <w:tcW w:w="538" w:type="dxa"/>
          </w:tcPr>
          <w:p w14:paraId="07803C7C" w14:textId="77777777" w:rsidR="00D74514" w:rsidRPr="007C15F5" w:rsidRDefault="00D74514" w:rsidP="00C33EEE">
            <w:pPr>
              <w:pStyle w:val="cmpara"/>
            </w:pPr>
            <w:r w:rsidRPr="007C15F5">
              <w:t>16.</w:t>
            </w:r>
          </w:p>
        </w:tc>
        <w:tc>
          <w:tcPr>
            <w:tcW w:w="7386" w:type="dxa"/>
            <w:gridSpan w:val="2"/>
          </w:tcPr>
          <w:p w14:paraId="5D9D0FA7" w14:textId="77777777" w:rsidR="00D74514" w:rsidRPr="007C15F5" w:rsidRDefault="00D74514"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D74514" w:rsidRPr="007C15F5" w14:paraId="726EAD99" w14:textId="77777777" w:rsidTr="00C33EEE">
        <w:tc>
          <w:tcPr>
            <w:tcW w:w="1355" w:type="dxa"/>
          </w:tcPr>
          <w:p w14:paraId="3C69B531" w14:textId="77777777" w:rsidR="00D74514" w:rsidRPr="00143BA8" w:rsidRDefault="00D74514" w:rsidP="00C33EEE">
            <w:pPr>
              <w:pStyle w:val="cmpara"/>
              <w:spacing w:after="0"/>
              <w:jc w:val="left"/>
              <w:rPr>
                <w:sz w:val="20"/>
              </w:rPr>
            </w:pPr>
            <w:r w:rsidRPr="00143BA8">
              <w:rPr>
                <w:sz w:val="20"/>
              </w:rPr>
              <w:t>Environ-mental protection</w:t>
            </w:r>
          </w:p>
        </w:tc>
        <w:tc>
          <w:tcPr>
            <w:tcW w:w="538" w:type="dxa"/>
          </w:tcPr>
          <w:p w14:paraId="3E58F50A" w14:textId="77777777" w:rsidR="00D74514" w:rsidRPr="007C15F5" w:rsidRDefault="00D74514" w:rsidP="00C33EEE">
            <w:pPr>
              <w:pStyle w:val="cmpara"/>
            </w:pPr>
            <w:r w:rsidRPr="007C15F5">
              <w:t>17.</w:t>
            </w:r>
          </w:p>
          <w:p w14:paraId="75BD4B1C" w14:textId="77777777" w:rsidR="00D74514" w:rsidRPr="007C15F5" w:rsidRDefault="00D74514" w:rsidP="00C33EEE">
            <w:pPr>
              <w:pStyle w:val="cmpara"/>
              <w:spacing w:after="0"/>
            </w:pPr>
            <w:r w:rsidRPr="007C15F5">
              <w:t>18.</w:t>
            </w:r>
          </w:p>
        </w:tc>
        <w:tc>
          <w:tcPr>
            <w:tcW w:w="7386" w:type="dxa"/>
            <w:gridSpan w:val="2"/>
          </w:tcPr>
          <w:p w14:paraId="79F76023" w14:textId="77777777" w:rsidR="00D74514" w:rsidRPr="007C15F5" w:rsidRDefault="00D74514" w:rsidP="00C33EEE">
            <w:pPr>
              <w:pStyle w:val="cmpara"/>
              <w:rPr>
                <w:szCs w:val="24"/>
              </w:rPr>
            </w:pPr>
            <w:r w:rsidRPr="007C15F5">
              <w:rPr>
                <w:szCs w:val="24"/>
              </w:rPr>
              <w:t>Conservation Measure 26</w:t>
            </w:r>
            <w:r w:rsidRPr="007C15F5">
              <w:rPr>
                <w:szCs w:val="24"/>
              </w:rPr>
              <w:noBreakHyphen/>
              <w:t xml:space="preserve">01 applies. </w:t>
            </w:r>
          </w:p>
          <w:p w14:paraId="22301F5E" w14:textId="77777777" w:rsidR="00D74514" w:rsidRPr="007C15F5" w:rsidRDefault="00D74514" w:rsidP="00C33EEE">
            <w:pPr>
              <w:pStyle w:val="cmpara"/>
              <w:spacing w:after="0"/>
              <w:rPr>
                <w:szCs w:val="24"/>
              </w:rPr>
            </w:pPr>
            <w:r w:rsidRPr="007C15F5">
              <w:rPr>
                <w:szCs w:val="24"/>
              </w:rPr>
              <w:t>Conservation Measures 22</w:t>
            </w:r>
            <w:r w:rsidRPr="007C15F5">
              <w:rPr>
                <w:szCs w:val="24"/>
              </w:rPr>
              <w:noBreakHyphen/>
              <w:t>06, 22-07, 22-08 and 22-09 apply.</w:t>
            </w:r>
          </w:p>
          <w:p w14:paraId="2B302E58" w14:textId="77777777" w:rsidR="00D74514" w:rsidRPr="007C15F5" w:rsidRDefault="00D74514" w:rsidP="00C33EEE">
            <w:pPr>
              <w:pStyle w:val="cmpara"/>
              <w:spacing w:after="0"/>
              <w:rPr>
                <w:szCs w:val="24"/>
              </w:rPr>
            </w:pPr>
          </w:p>
        </w:tc>
      </w:tr>
      <w:tr w:rsidR="00D74514" w:rsidRPr="007C15F5" w14:paraId="5272FFF6" w14:textId="77777777" w:rsidTr="009B5C21">
        <w:tc>
          <w:tcPr>
            <w:tcW w:w="1355" w:type="dxa"/>
          </w:tcPr>
          <w:p w14:paraId="5AB21952" w14:textId="77777777" w:rsidR="00D74514" w:rsidRPr="007C15F5" w:rsidRDefault="00D74514" w:rsidP="00C33EEE">
            <w:pPr>
              <w:pStyle w:val="cmpara"/>
              <w:spacing w:after="0"/>
              <w:jc w:val="left"/>
            </w:pPr>
          </w:p>
        </w:tc>
        <w:tc>
          <w:tcPr>
            <w:tcW w:w="538" w:type="dxa"/>
          </w:tcPr>
          <w:p w14:paraId="7D823913" w14:textId="77777777" w:rsidR="00D74514" w:rsidRPr="007C15F5" w:rsidRDefault="00D74514" w:rsidP="00C33EEE">
            <w:pPr>
              <w:pStyle w:val="cmpara"/>
              <w:spacing w:after="0"/>
            </w:pPr>
          </w:p>
        </w:tc>
        <w:tc>
          <w:tcPr>
            <w:tcW w:w="7386" w:type="dxa"/>
            <w:gridSpan w:val="2"/>
          </w:tcPr>
          <w:p w14:paraId="597EA358" w14:textId="616F1C4C" w:rsidR="00F760FD" w:rsidRDefault="00F760FD" w:rsidP="00F760FD">
            <w:pPr>
              <w:pStyle w:val="cmfootnote"/>
              <w:spacing w:after="0"/>
              <w:ind w:left="278" w:hanging="278"/>
            </w:pPr>
            <w:r w:rsidRPr="00D929E2">
              <w:rPr>
                <w:vertAlign w:val="superscript"/>
              </w:rPr>
              <w:t>1</w:t>
            </w:r>
            <w:r w:rsidR="00D929E2" w:rsidRPr="00D929E2">
              <w:tab/>
            </w:r>
            <w:r w:rsidRPr="00D929E2">
              <w:t>Total green weight caught, excluding individuals released alive.</w:t>
            </w:r>
          </w:p>
          <w:p w14:paraId="7E9D713D" w14:textId="3401715C" w:rsidR="00B61CD5" w:rsidRPr="00D929E2" w:rsidRDefault="00A8604E" w:rsidP="00F760FD">
            <w:pPr>
              <w:pStyle w:val="cmfootnote"/>
              <w:spacing w:after="0"/>
              <w:ind w:left="278" w:hanging="278"/>
            </w:pPr>
            <w:r>
              <w:rPr>
                <w:vertAlign w:val="superscript"/>
              </w:rPr>
              <w:lastRenderedPageBreak/>
              <w:t>2</w:t>
            </w:r>
            <w:r w:rsidRPr="00D929E2">
              <w:tab/>
              <w:t>For the purposes of this conservation measure, for a longline, each haul applies to a single longline regardless of how contiguous sections of gear are connected.</w:t>
            </w:r>
          </w:p>
          <w:p w14:paraId="6A4D5783" w14:textId="4592E3D8" w:rsidR="00F760FD" w:rsidRPr="00D929E2" w:rsidRDefault="00A8604E" w:rsidP="00F760FD">
            <w:pPr>
              <w:pStyle w:val="cmfootnote"/>
              <w:spacing w:after="0"/>
              <w:ind w:left="278" w:hanging="278"/>
            </w:pPr>
            <w:r>
              <w:rPr>
                <w:vertAlign w:val="superscript"/>
              </w:rPr>
              <w:t>3</w:t>
            </w:r>
            <w:r w:rsidR="00D929E2" w:rsidRPr="00D929E2">
              <w:tab/>
            </w:r>
            <w:r w:rsidR="00F760FD" w:rsidRPr="00D929E2">
              <w:t>This provision concerning the minimum distance separating fishing locations is adopted pending the adoption of a more appropriate definition of a fishing location by the Commission.</w:t>
            </w:r>
          </w:p>
          <w:p w14:paraId="342326B0" w14:textId="2F3B9EAD" w:rsidR="00F760FD" w:rsidRPr="00D929E2" w:rsidRDefault="00A8604E" w:rsidP="00F760FD">
            <w:pPr>
              <w:pStyle w:val="cmfootnote"/>
              <w:spacing w:after="0"/>
              <w:ind w:left="278" w:hanging="278"/>
            </w:pPr>
            <w:r>
              <w:rPr>
                <w:vertAlign w:val="superscript"/>
              </w:rPr>
              <w:t>4</w:t>
            </w:r>
            <w:r w:rsidR="00D929E2" w:rsidRPr="00D929E2">
              <w:tab/>
            </w:r>
            <w:r w:rsidR="00F760FD" w:rsidRPr="00D929E2">
              <w:t>The specified period is adopted in accordance with the reporting period specified in Conservation Measure 23-01, pending the adoption of a more appropriate period by the Commission.</w:t>
            </w:r>
          </w:p>
          <w:p w14:paraId="43900F92" w14:textId="1D43238C" w:rsidR="00F760FD" w:rsidRPr="00D929E2" w:rsidRDefault="00A8604E" w:rsidP="00F760FD">
            <w:pPr>
              <w:pStyle w:val="cmfootnote"/>
              <w:spacing w:after="0"/>
              <w:ind w:left="278" w:hanging="278"/>
            </w:pPr>
            <w:r>
              <w:rPr>
                <w:vertAlign w:val="superscript"/>
              </w:rPr>
              <w:t>5</w:t>
            </w:r>
            <w:r w:rsidR="00D929E2" w:rsidRPr="00D929E2">
              <w:tab/>
            </w:r>
            <w:r w:rsidR="00F760FD" w:rsidRPr="00D929E2">
              <w:t>For a longline, the path is defined from the point at which the first anchor of a set was deployed to the point at which the last anchor of that set was deployed.</w:t>
            </w:r>
          </w:p>
          <w:p w14:paraId="08B22185" w14:textId="33B77D63" w:rsidR="00F760FD" w:rsidRPr="00D929E2" w:rsidRDefault="00A8604E" w:rsidP="00F760FD">
            <w:pPr>
              <w:pStyle w:val="cmfootnote"/>
              <w:spacing w:after="0"/>
              <w:ind w:left="278" w:hanging="278"/>
            </w:pPr>
            <w:r>
              <w:rPr>
                <w:vertAlign w:val="superscript"/>
              </w:rPr>
              <w:t>6</w:t>
            </w:r>
            <w:r w:rsidR="00D929E2" w:rsidRPr="00D929E2">
              <w:tab/>
            </w:r>
            <w:r w:rsidR="00F760FD" w:rsidRPr="00D929E2">
              <w:t>A 10-day period is defined as day 1 to day 10, day 11 to day 20, or day 21 to the last day of the month.</w:t>
            </w:r>
          </w:p>
          <w:p w14:paraId="34BC97C0" w14:textId="21521C67" w:rsidR="00F760FD" w:rsidRPr="00D929E2" w:rsidRDefault="00A8604E" w:rsidP="00F760FD">
            <w:pPr>
              <w:pStyle w:val="cmfootnote"/>
              <w:spacing w:after="0"/>
              <w:ind w:left="278" w:hanging="278"/>
            </w:pPr>
            <w:r>
              <w:rPr>
                <w:vertAlign w:val="superscript"/>
              </w:rPr>
              <w:t>7</w:t>
            </w:r>
            <w:r w:rsidR="00F760FD" w:rsidRPr="00D929E2">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3EA86152" w14:textId="6618624C" w:rsidR="00A53AC1" w:rsidRPr="00D929E2" w:rsidRDefault="00A8604E" w:rsidP="00F760FD">
            <w:pPr>
              <w:pStyle w:val="cmfootnote"/>
              <w:spacing w:after="0"/>
              <w:ind w:left="278" w:hanging="278"/>
            </w:pPr>
            <w:r>
              <w:rPr>
                <w:vertAlign w:val="superscript"/>
              </w:rPr>
              <w:t>8</w:t>
            </w:r>
            <w:r w:rsidR="00F760FD" w:rsidRPr="00D929E2">
              <w:tab/>
              <w:t>Wherever possible, when night setting, setting of lines should be completed at least three hours before sunrise (to reduce loss of bait to/catches of white-chinned petrels).</w:t>
            </w:r>
          </w:p>
          <w:p w14:paraId="7FA75BA0" w14:textId="5841B15B" w:rsidR="00D74514" w:rsidRPr="00D929E2" w:rsidRDefault="00D74514" w:rsidP="009B5C21">
            <w:pPr>
              <w:pStyle w:val="cmfootnote"/>
              <w:spacing w:after="0"/>
              <w:ind w:left="278" w:hanging="278"/>
            </w:pPr>
          </w:p>
        </w:tc>
      </w:tr>
    </w:tbl>
    <w:p w14:paraId="20D25D81" w14:textId="77777777" w:rsidR="00293928" w:rsidRPr="00CC39F5" w:rsidRDefault="00293928" w:rsidP="00CC39F5"/>
    <w:sectPr w:rsidR="00293928" w:rsidRPr="00CC39F5" w:rsidSect="0003269F">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217FF" w14:textId="77777777" w:rsidR="003405C5" w:rsidRDefault="003405C5">
      <w:r>
        <w:separator/>
      </w:r>
    </w:p>
  </w:endnote>
  <w:endnote w:type="continuationSeparator" w:id="0">
    <w:p w14:paraId="65DF11EF" w14:textId="77777777" w:rsidR="003405C5" w:rsidRDefault="00340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F3B47" w14:textId="77777777" w:rsidR="003405C5" w:rsidRDefault="003405C5">
      <w:r>
        <w:separator/>
      </w:r>
    </w:p>
  </w:footnote>
  <w:footnote w:type="continuationSeparator" w:id="0">
    <w:p w14:paraId="5274DDB9" w14:textId="77777777" w:rsidR="003405C5" w:rsidRDefault="00340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2360D" w14:textId="77777777" w:rsidR="00D74514" w:rsidRDefault="00D74514" w:rsidP="00930002">
    <w:pPr>
      <w:pStyle w:val="oddheader"/>
    </w:pPr>
    <w:r>
      <w:t>41-09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3DA6C" w14:textId="730F9EA6" w:rsidR="00D74514" w:rsidRDefault="00D74514" w:rsidP="0003269F">
    <w:pPr>
      <w:pStyle w:val="oddheader"/>
    </w:pPr>
    <w:r>
      <w:t>41-09</w:t>
    </w:r>
  </w:p>
  <w:p w14:paraId="39463CEB" w14:textId="6B0C3E09" w:rsidR="0003269F" w:rsidRDefault="0003269F" w:rsidP="0003269F">
    <w:pPr>
      <w:pStyle w:val="oddheader"/>
    </w:pPr>
    <w:del w:id="101" w:author="Doro Forck" w:date="2018-11-07T16:29:00Z">
      <w:r w:rsidDel="00102506">
        <w:delText>v0</w:delText>
      </w:r>
    </w:del>
    <w:ins w:id="102" w:author="Stephane Thanassekos" w:date="2018-11-01T13:29:00Z">
      <w:del w:id="103" w:author="Doro Forck" w:date="2018-11-07T16:29:00Z">
        <w:r w:rsidR="00492372" w:rsidDel="00102506">
          <w:delText>v1</w:delText>
        </w:r>
      </w:del>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36865">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4514"/>
    <w:rsid w:val="00003392"/>
    <w:rsid w:val="00004F5C"/>
    <w:rsid w:val="0001722C"/>
    <w:rsid w:val="0003269F"/>
    <w:rsid w:val="00037BD2"/>
    <w:rsid w:val="000573D8"/>
    <w:rsid w:val="00060309"/>
    <w:rsid w:val="000661FD"/>
    <w:rsid w:val="00066AB7"/>
    <w:rsid w:val="00073528"/>
    <w:rsid w:val="00080A49"/>
    <w:rsid w:val="00093133"/>
    <w:rsid w:val="000975BB"/>
    <w:rsid w:val="000A1872"/>
    <w:rsid w:val="000A67EA"/>
    <w:rsid w:val="000B4AC5"/>
    <w:rsid w:val="000B51C3"/>
    <w:rsid w:val="000C277F"/>
    <w:rsid w:val="000C3D02"/>
    <w:rsid w:val="000C4A03"/>
    <w:rsid w:val="000D5941"/>
    <w:rsid w:val="000D626F"/>
    <w:rsid w:val="000F0BF9"/>
    <w:rsid w:val="000F7404"/>
    <w:rsid w:val="00102506"/>
    <w:rsid w:val="001056D8"/>
    <w:rsid w:val="00114F3D"/>
    <w:rsid w:val="00115B5B"/>
    <w:rsid w:val="001326D6"/>
    <w:rsid w:val="00134425"/>
    <w:rsid w:val="00143BA8"/>
    <w:rsid w:val="00155181"/>
    <w:rsid w:val="00155C56"/>
    <w:rsid w:val="001655D3"/>
    <w:rsid w:val="001657DA"/>
    <w:rsid w:val="00170E3D"/>
    <w:rsid w:val="0018501F"/>
    <w:rsid w:val="0019362F"/>
    <w:rsid w:val="001B52A2"/>
    <w:rsid w:val="001C00E6"/>
    <w:rsid w:val="001C2583"/>
    <w:rsid w:val="001C533D"/>
    <w:rsid w:val="001D27F7"/>
    <w:rsid w:val="001D7CD6"/>
    <w:rsid w:val="001E0DFF"/>
    <w:rsid w:val="001F3DC8"/>
    <w:rsid w:val="00201EB9"/>
    <w:rsid w:val="00205903"/>
    <w:rsid w:val="00214397"/>
    <w:rsid w:val="00216348"/>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05C5"/>
    <w:rsid w:val="00346298"/>
    <w:rsid w:val="00346FCD"/>
    <w:rsid w:val="00354CC4"/>
    <w:rsid w:val="00366DB9"/>
    <w:rsid w:val="00373D49"/>
    <w:rsid w:val="0037602C"/>
    <w:rsid w:val="00390AEF"/>
    <w:rsid w:val="00393B9E"/>
    <w:rsid w:val="00394AF8"/>
    <w:rsid w:val="003A18B9"/>
    <w:rsid w:val="003A34FA"/>
    <w:rsid w:val="003A5BC4"/>
    <w:rsid w:val="003A5FF0"/>
    <w:rsid w:val="003B3FC7"/>
    <w:rsid w:val="003B7DA5"/>
    <w:rsid w:val="003C0DD0"/>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2372"/>
    <w:rsid w:val="00495DA0"/>
    <w:rsid w:val="004976A5"/>
    <w:rsid w:val="00497C1A"/>
    <w:rsid w:val="004A4715"/>
    <w:rsid w:val="004C4976"/>
    <w:rsid w:val="004C4EC1"/>
    <w:rsid w:val="004E44AD"/>
    <w:rsid w:val="004F0A13"/>
    <w:rsid w:val="00500CEE"/>
    <w:rsid w:val="0050409D"/>
    <w:rsid w:val="00504703"/>
    <w:rsid w:val="00507A51"/>
    <w:rsid w:val="00516354"/>
    <w:rsid w:val="00521E81"/>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5F550B"/>
    <w:rsid w:val="006019EE"/>
    <w:rsid w:val="006026A1"/>
    <w:rsid w:val="00605CD9"/>
    <w:rsid w:val="0060642C"/>
    <w:rsid w:val="00621841"/>
    <w:rsid w:val="00625F1E"/>
    <w:rsid w:val="00634821"/>
    <w:rsid w:val="00643F4D"/>
    <w:rsid w:val="00645A6E"/>
    <w:rsid w:val="00671793"/>
    <w:rsid w:val="00675281"/>
    <w:rsid w:val="00677C74"/>
    <w:rsid w:val="00681DC3"/>
    <w:rsid w:val="006837FD"/>
    <w:rsid w:val="00693369"/>
    <w:rsid w:val="006A1BD3"/>
    <w:rsid w:val="006A2952"/>
    <w:rsid w:val="006A2A66"/>
    <w:rsid w:val="006A6AA2"/>
    <w:rsid w:val="006A7540"/>
    <w:rsid w:val="006D2FA7"/>
    <w:rsid w:val="006D7703"/>
    <w:rsid w:val="006E316B"/>
    <w:rsid w:val="00702BD9"/>
    <w:rsid w:val="00713D8A"/>
    <w:rsid w:val="007178D2"/>
    <w:rsid w:val="00725851"/>
    <w:rsid w:val="00733077"/>
    <w:rsid w:val="00734313"/>
    <w:rsid w:val="00741009"/>
    <w:rsid w:val="0074478C"/>
    <w:rsid w:val="00746200"/>
    <w:rsid w:val="0077140B"/>
    <w:rsid w:val="00783126"/>
    <w:rsid w:val="00797ECB"/>
    <w:rsid w:val="007A457A"/>
    <w:rsid w:val="007A6AC5"/>
    <w:rsid w:val="007B07B2"/>
    <w:rsid w:val="007B35EB"/>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D52D3"/>
    <w:rsid w:val="008D55A0"/>
    <w:rsid w:val="008E7591"/>
    <w:rsid w:val="00910A8C"/>
    <w:rsid w:val="00916059"/>
    <w:rsid w:val="00920A43"/>
    <w:rsid w:val="00930002"/>
    <w:rsid w:val="00930DE2"/>
    <w:rsid w:val="00930FA7"/>
    <w:rsid w:val="009319D6"/>
    <w:rsid w:val="0093261B"/>
    <w:rsid w:val="00933AB7"/>
    <w:rsid w:val="00933D25"/>
    <w:rsid w:val="009518B0"/>
    <w:rsid w:val="00952500"/>
    <w:rsid w:val="0097121C"/>
    <w:rsid w:val="00971375"/>
    <w:rsid w:val="0097160C"/>
    <w:rsid w:val="00981E0B"/>
    <w:rsid w:val="0098365B"/>
    <w:rsid w:val="00984C67"/>
    <w:rsid w:val="009860E5"/>
    <w:rsid w:val="00994F0C"/>
    <w:rsid w:val="00996C55"/>
    <w:rsid w:val="009A6941"/>
    <w:rsid w:val="009B4669"/>
    <w:rsid w:val="009B4DE2"/>
    <w:rsid w:val="009B5C21"/>
    <w:rsid w:val="009B7118"/>
    <w:rsid w:val="009C0EC7"/>
    <w:rsid w:val="009C1A0F"/>
    <w:rsid w:val="009D4AC8"/>
    <w:rsid w:val="009E6510"/>
    <w:rsid w:val="009F6452"/>
    <w:rsid w:val="00A073DF"/>
    <w:rsid w:val="00A12048"/>
    <w:rsid w:val="00A22F54"/>
    <w:rsid w:val="00A263D8"/>
    <w:rsid w:val="00A341CA"/>
    <w:rsid w:val="00A36B31"/>
    <w:rsid w:val="00A474CD"/>
    <w:rsid w:val="00A53AC1"/>
    <w:rsid w:val="00A56E7B"/>
    <w:rsid w:val="00A60393"/>
    <w:rsid w:val="00A7242D"/>
    <w:rsid w:val="00A72A2A"/>
    <w:rsid w:val="00A8038A"/>
    <w:rsid w:val="00A8604E"/>
    <w:rsid w:val="00A86EDB"/>
    <w:rsid w:val="00AA0088"/>
    <w:rsid w:val="00AA33E9"/>
    <w:rsid w:val="00AB234D"/>
    <w:rsid w:val="00AB3E8C"/>
    <w:rsid w:val="00AB73D0"/>
    <w:rsid w:val="00AC4D3A"/>
    <w:rsid w:val="00AD04A5"/>
    <w:rsid w:val="00AE10F3"/>
    <w:rsid w:val="00AF3EDF"/>
    <w:rsid w:val="00AF76A0"/>
    <w:rsid w:val="00B0045F"/>
    <w:rsid w:val="00B01192"/>
    <w:rsid w:val="00B04AF7"/>
    <w:rsid w:val="00B05474"/>
    <w:rsid w:val="00B05991"/>
    <w:rsid w:val="00B1169C"/>
    <w:rsid w:val="00B22A80"/>
    <w:rsid w:val="00B24522"/>
    <w:rsid w:val="00B25995"/>
    <w:rsid w:val="00B2695D"/>
    <w:rsid w:val="00B31A1F"/>
    <w:rsid w:val="00B347AA"/>
    <w:rsid w:val="00B40DB7"/>
    <w:rsid w:val="00B61CD5"/>
    <w:rsid w:val="00B72080"/>
    <w:rsid w:val="00B736D6"/>
    <w:rsid w:val="00B738C5"/>
    <w:rsid w:val="00B75FB8"/>
    <w:rsid w:val="00B90C87"/>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7150E"/>
    <w:rsid w:val="00C87975"/>
    <w:rsid w:val="00C97620"/>
    <w:rsid w:val="00CA1FD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74514"/>
    <w:rsid w:val="00D8369F"/>
    <w:rsid w:val="00D90E1B"/>
    <w:rsid w:val="00D929E2"/>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36F07"/>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03CA"/>
    <w:rsid w:val="00F57579"/>
    <w:rsid w:val="00F619BA"/>
    <w:rsid w:val="00F66DFC"/>
    <w:rsid w:val="00F75F7B"/>
    <w:rsid w:val="00F760FD"/>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e4e4e4,#ddd,silver,#b9b9b9"/>
    </o:shapedefaults>
    <o:shapelayout v:ext="edit">
      <o:idmap v:ext="edit" data="1"/>
    </o:shapelayout>
  </w:shapeDefaults>
  <w:decimalSymbol w:val="."/>
  <w:listSeparator w:val=","/>
  <w14:docId w14:val="7F4133FB"/>
  <w15:docId w15:val="{871CA9A7-8CDE-4D16-9F37-2397AEC69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D74514"/>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27658-5B2E-4F7F-829D-0FD7119B9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26</TotalTime>
  <Pages>5</Pages>
  <Words>1491</Words>
  <Characters>8501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6</cp:revision>
  <cp:lastPrinted>2017-10-27T00:31:00Z</cp:lastPrinted>
  <dcterms:created xsi:type="dcterms:W3CDTF">2018-11-01T02:28:00Z</dcterms:created>
  <dcterms:modified xsi:type="dcterms:W3CDTF">2018-11-07T05:35:00Z</dcterms:modified>
</cp:coreProperties>
</file>