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83467" w14:textId="77777777" w:rsidR="00E328D4" w:rsidRDefault="00E328D4" w:rsidP="00E328D4">
      <w:pPr>
        <w:widowControl w:val="0"/>
        <w:rPr>
          <w:rFonts w:cs="Times New Roman"/>
          <w:b/>
        </w:rPr>
      </w:pPr>
    </w:p>
    <w:p w14:paraId="1CBF0C84" w14:textId="042E9A9A" w:rsidR="00E328D4" w:rsidRDefault="00E328D4" w:rsidP="00E328D4">
      <w:pPr>
        <w:widowControl w:val="0"/>
        <w:jc w:val="center"/>
        <w:rPr>
          <w:rFonts w:cs="Times New Roman"/>
          <w:b/>
        </w:rPr>
      </w:pPr>
      <w:r w:rsidRPr="005905FF">
        <w:rPr>
          <w:rFonts w:cs="Times New Roman"/>
          <w:b/>
        </w:rPr>
        <w:t>Fisheries Operation Plan</w:t>
      </w:r>
      <w:r w:rsidRPr="005905FF">
        <w:rPr>
          <w:rStyle w:val="Refdenotaalpie"/>
          <w:rFonts w:cs="Times New Roman"/>
          <w:b/>
        </w:rPr>
        <w:footnoteReference w:id="1"/>
      </w:r>
      <w:r w:rsidRPr="005905FF">
        <w:rPr>
          <w:rFonts w:cs="Times New Roman"/>
          <w:b/>
        </w:rPr>
        <w:t xml:space="preserve"> (CM 21-02, paragraph 6(ii))</w:t>
      </w:r>
    </w:p>
    <w:p w14:paraId="684FE729" w14:textId="77777777" w:rsidR="00E328D4" w:rsidRPr="005905FF" w:rsidRDefault="00E328D4" w:rsidP="00E328D4">
      <w:pPr>
        <w:widowControl w:val="0"/>
        <w:rPr>
          <w:rFonts w:cs="Times New Roman"/>
          <w:b/>
        </w:rPr>
      </w:pPr>
    </w:p>
    <w:p w14:paraId="5C640D79" w14:textId="77777777" w:rsidR="00E328D4" w:rsidRDefault="00E328D4" w:rsidP="00436BA1">
      <w:pPr>
        <w:pStyle w:val="subparagraph"/>
        <w:ind w:left="567"/>
        <w:jc w:val="both"/>
      </w:pPr>
      <w:r>
        <w:t>(a)</w:t>
      </w:r>
      <w:r>
        <w:tab/>
        <w:t>T</w:t>
      </w:r>
      <w:r w:rsidRPr="00121352">
        <w:t>he nature of the exploratory fishery, including target species, methods of fishing, proposed region and maximum catch levels proposed for the forthcoming season</w:t>
      </w:r>
      <w:r>
        <w:t>:</w:t>
      </w:r>
    </w:p>
    <w:p w14:paraId="32BE2C47" w14:textId="37F2BED7" w:rsidR="008C0645" w:rsidRPr="00635CC7" w:rsidRDefault="008C0645" w:rsidP="00436BA1">
      <w:pPr>
        <w:jc w:val="both"/>
        <w:rPr>
          <w:sz w:val="20"/>
          <w:lang w:val="es-UY"/>
        </w:rPr>
      </w:pPr>
      <w:r w:rsidRPr="00635CC7">
        <w:rPr>
          <w:sz w:val="20"/>
          <w:lang w:val="es-UY"/>
        </w:rPr>
        <w:t>(a) Naturaleza de la pesquería exploratoria, incluyendo las especies objetivo, los métodos de pesca, la región propuesta y los niveles máximos de captura propuestos para la próxima temporada:</w:t>
      </w:r>
    </w:p>
    <w:p w14:paraId="0D10DD56" w14:textId="77777777" w:rsidR="008C0645" w:rsidRPr="00635CC7" w:rsidRDefault="008C0645" w:rsidP="008C0645">
      <w:pPr>
        <w:rPr>
          <w:sz w:val="20"/>
          <w:lang w:val="es-UY"/>
        </w:rPr>
      </w:pPr>
    </w:p>
    <w:tbl>
      <w:tblPr>
        <w:tblStyle w:val="TableGrid"/>
        <w:tblW w:w="9001" w:type="dxa"/>
        <w:tblInd w:w="5" w:type="dxa"/>
        <w:tblLayout w:type="fixed"/>
        <w:tblCellMar>
          <w:left w:w="108" w:type="dxa"/>
          <w:right w:w="50" w:type="dxa"/>
        </w:tblCellMar>
        <w:tblLook w:val="04A0" w:firstRow="1" w:lastRow="0" w:firstColumn="1" w:lastColumn="0" w:noHBand="0" w:noVBand="1"/>
      </w:tblPr>
      <w:tblGrid>
        <w:gridCol w:w="2746"/>
        <w:gridCol w:w="6255"/>
      </w:tblGrid>
      <w:tr w:rsidR="00ED5E1A" w:rsidRPr="00B069BB" w14:paraId="455B0477" w14:textId="77777777" w:rsidTr="00ED5E1A">
        <w:trPr>
          <w:trHeight w:val="506"/>
        </w:trPr>
        <w:tc>
          <w:tcPr>
            <w:tcW w:w="2746" w:type="dxa"/>
            <w:tcBorders>
              <w:top w:val="single" w:sz="8" w:space="0" w:color="000000"/>
              <w:left w:val="single" w:sz="4" w:space="0" w:color="000000"/>
              <w:bottom w:val="single" w:sz="4" w:space="0" w:color="000000"/>
              <w:right w:val="single" w:sz="4" w:space="0" w:color="000000"/>
            </w:tcBorders>
            <w:vAlign w:val="center"/>
          </w:tcPr>
          <w:p w14:paraId="1D9472CC" w14:textId="77777777" w:rsidR="00ED5E1A" w:rsidRPr="00AF77E9" w:rsidRDefault="00ED5E1A" w:rsidP="00C334F9">
            <w:pPr>
              <w:spacing w:line="259" w:lineRule="auto"/>
              <w:rPr>
                <w:color w:val="000000" w:themeColor="text1"/>
              </w:rPr>
            </w:pPr>
            <w:proofErr w:type="spellStart"/>
            <w:r w:rsidRPr="00AF77E9">
              <w:rPr>
                <w:color w:val="000000" w:themeColor="text1"/>
                <w:sz w:val="22"/>
              </w:rPr>
              <w:t>Especie</w:t>
            </w:r>
            <w:proofErr w:type="spellEnd"/>
            <w:r w:rsidRPr="00AF77E9">
              <w:rPr>
                <w:color w:val="000000" w:themeColor="text1"/>
                <w:sz w:val="22"/>
              </w:rPr>
              <w:t xml:space="preserve"> </w:t>
            </w:r>
            <w:proofErr w:type="spellStart"/>
            <w:r w:rsidRPr="00AF77E9">
              <w:rPr>
                <w:color w:val="000000" w:themeColor="text1"/>
                <w:sz w:val="22"/>
              </w:rPr>
              <w:t>objetivo</w:t>
            </w:r>
            <w:proofErr w:type="spellEnd"/>
            <w:r w:rsidRPr="00AF77E9">
              <w:rPr>
                <w:color w:val="000000" w:themeColor="text1"/>
                <w:sz w:val="22"/>
              </w:rPr>
              <w:t xml:space="preserve"> </w:t>
            </w:r>
          </w:p>
        </w:tc>
        <w:tc>
          <w:tcPr>
            <w:tcW w:w="6255" w:type="dxa"/>
            <w:tcBorders>
              <w:top w:val="single" w:sz="8" w:space="0" w:color="000000"/>
              <w:left w:val="single" w:sz="4" w:space="0" w:color="000000"/>
              <w:bottom w:val="single" w:sz="4" w:space="0" w:color="000000"/>
              <w:right w:val="single" w:sz="4" w:space="0" w:color="000000"/>
            </w:tcBorders>
            <w:vAlign w:val="center"/>
          </w:tcPr>
          <w:p w14:paraId="6304AC83" w14:textId="77777777" w:rsidR="00ED5E1A" w:rsidRPr="00AF77E9" w:rsidRDefault="00ED5E1A" w:rsidP="00C334F9">
            <w:pPr>
              <w:spacing w:line="259" w:lineRule="auto"/>
              <w:rPr>
                <w:color w:val="000000" w:themeColor="text1"/>
              </w:rPr>
            </w:pPr>
            <w:proofErr w:type="spellStart"/>
            <w:r w:rsidRPr="00AE7ED5">
              <w:rPr>
                <w:b/>
                <w:bCs/>
                <w:color w:val="000000" w:themeColor="text1"/>
                <w:sz w:val="22"/>
              </w:rPr>
              <w:t>Austromerluza</w:t>
            </w:r>
            <w:proofErr w:type="spellEnd"/>
            <w:r w:rsidRPr="00AE7ED5">
              <w:rPr>
                <w:b/>
                <w:bCs/>
                <w:color w:val="000000" w:themeColor="text1"/>
                <w:sz w:val="22"/>
              </w:rPr>
              <w:t xml:space="preserve"> </w:t>
            </w:r>
            <w:proofErr w:type="spellStart"/>
            <w:r w:rsidRPr="00AE7ED5">
              <w:rPr>
                <w:b/>
                <w:bCs/>
                <w:color w:val="000000" w:themeColor="text1"/>
                <w:sz w:val="22"/>
              </w:rPr>
              <w:t>antártica</w:t>
            </w:r>
            <w:proofErr w:type="spellEnd"/>
            <w:r w:rsidRPr="00AF77E9">
              <w:rPr>
                <w:color w:val="000000" w:themeColor="text1"/>
                <w:sz w:val="22"/>
              </w:rPr>
              <w:t xml:space="preserve"> (</w:t>
            </w:r>
            <w:proofErr w:type="spellStart"/>
            <w:r w:rsidRPr="00AF77E9">
              <w:rPr>
                <w:rFonts w:cs="Times New Roman"/>
                <w:i/>
                <w:color w:val="000000" w:themeColor="text1"/>
                <w:sz w:val="22"/>
              </w:rPr>
              <w:t>Dissostichus</w:t>
            </w:r>
            <w:proofErr w:type="spellEnd"/>
            <w:r w:rsidRPr="00AF77E9">
              <w:rPr>
                <w:rFonts w:cs="Times New Roman"/>
                <w:i/>
                <w:color w:val="000000" w:themeColor="text1"/>
                <w:sz w:val="22"/>
              </w:rPr>
              <w:t xml:space="preserve"> </w:t>
            </w:r>
            <w:proofErr w:type="spellStart"/>
            <w:r w:rsidRPr="00AF77E9">
              <w:rPr>
                <w:rFonts w:cs="Times New Roman"/>
                <w:i/>
                <w:color w:val="000000" w:themeColor="text1"/>
                <w:sz w:val="22"/>
              </w:rPr>
              <w:t>mawsoni</w:t>
            </w:r>
            <w:proofErr w:type="spellEnd"/>
            <w:r w:rsidRPr="00AF77E9">
              <w:rPr>
                <w:color w:val="000000" w:themeColor="text1"/>
                <w:sz w:val="22"/>
              </w:rPr>
              <w:t xml:space="preserve">) </w:t>
            </w:r>
          </w:p>
        </w:tc>
      </w:tr>
      <w:tr w:rsidR="00ED5E1A" w:rsidRPr="00635CC7" w14:paraId="308D4790" w14:textId="77777777" w:rsidTr="00ED5E1A">
        <w:trPr>
          <w:trHeight w:val="1514"/>
        </w:trPr>
        <w:tc>
          <w:tcPr>
            <w:tcW w:w="2746" w:type="dxa"/>
            <w:tcBorders>
              <w:top w:val="single" w:sz="4" w:space="0" w:color="000000"/>
              <w:left w:val="single" w:sz="4" w:space="0" w:color="000000"/>
              <w:bottom w:val="single" w:sz="4" w:space="0" w:color="000000"/>
              <w:right w:val="single" w:sz="4" w:space="0" w:color="000000"/>
            </w:tcBorders>
            <w:vAlign w:val="center"/>
          </w:tcPr>
          <w:p w14:paraId="4FC73221" w14:textId="77777777" w:rsidR="00ED5E1A" w:rsidRPr="00B069BB" w:rsidRDefault="00ED5E1A" w:rsidP="00C334F9">
            <w:pPr>
              <w:spacing w:line="259" w:lineRule="auto"/>
              <w:rPr>
                <w:color w:val="595959" w:themeColor="text1" w:themeTint="A6"/>
              </w:rPr>
            </w:pPr>
            <w:proofErr w:type="spellStart"/>
            <w:r w:rsidRPr="00B069BB">
              <w:rPr>
                <w:color w:val="595959" w:themeColor="text1" w:themeTint="A6"/>
                <w:sz w:val="22"/>
              </w:rPr>
              <w:t>Método</w:t>
            </w:r>
            <w:proofErr w:type="spellEnd"/>
            <w:r w:rsidRPr="00B069BB">
              <w:rPr>
                <w:color w:val="595959" w:themeColor="text1" w:themeTint="A6"/>
                <w:sz w:val="22"/>
              </w:rPr>
              <w:t xml:space="preserve"> de </w:t>
            </w:r>
            <w:proofErr w:type="spellStart"/>
            <w:r w:rsidRPr="00B069BB">
              <w:rPr>
                <w:color w:val="595959" w:themeColor="text1" w:themeTint="A6"/>
                <w:sz w:val="22"/>
              </w:rPr>
              <w:t>pesca</w:t>
            </w:r>
            <w:proofErr w:type="spellEnd"/>
            <w:r w:rsidRPr="00B069BB">
              <w:rPr>
                <w:color w:val="595959" w:themeColor="text1" w:themeTint="A6"/>
                <w:sz w:val="22"/>
              </w:rPr>
              <w:t xml:space="preserve"> </w:t>
            </w:r>
          </w:p>
        </w:tc>
        <w:tc>
          <w:tcPr>
            <w:tcW w:w="6255" w:type="dxa"/>
            <w:tcBorders>
              <w:top w:val="single" w:sz="4" w:space="0" w:color="000000"/>
              <w:left w:val="single" w:sz="4" w:space="0" w:color="000000"/>
              <w:bottom w:val="single" w:sz="4" w:space="0" w:color="000000"/>
              <w:right w:val="single" w:sz="4" w:space="0" w:color="000000"/>
            </w:tcBorders>
            <w:vAlign w:val="center"/>
          </w:tcPr>
          <w:p w14:paraId="27DB0138" w14:textId="488FA80C" w:rsidR="00ED5E1A" w:rsidRPr="00635CC7" w:rsidRDefault="00ED5E1A" w:rsidP="00ED5E1A">
            <w:pPr>
              <w:spacing w:after="25" w:line="239" w:lineRule="auto"/>
              <w:rPr>
                <w:color w:val="000000" w:themeColor="text1"/>
                <w:lang w:val="es-UY"/>
              </w:rPr>
            </w:pPr>
            <w:r w:rsidRPr="00635CC7">
              <w:rPr>
                <w:color w:val="000000" w:themeColor="text1"/>
                <w:sz w:val="22"/>
                <w:lang w:val="es-UY"/>
              </w:rPr>
              <w:t>Palangre de fondo. El barco operará con un sistema de calado automático que utiliza una línea de lastre integrado (véase el</w:t>
            </w:r>
          </w:p>
          <w:p w14:paraId="17CA8408" w14:textId="4A2EB132" w:rsidR="00ED5E1A" w:rsidRPr="00635CC7" w:rsidRDefault="00ED5E1A" w:rsidP="00ED5E1A">
            <w:pPr>
              <w:tabs>
                <w:tab w:val="center" w:pos="1074"/>
                <w:tab w:val="center" w:pos="1505"/>
                <w:tab w:val="center" w:pos="2309"/>
                <w:tab w:val="center" w:pos="3270"/>
                <w:tab w:val="center" w:pos="3965"/>
                <w:tab w:val="center" w:pos="4523"/>
                <w:tab w:val="center" w:pos="5119"/>
                <w:tab w:val="right" w:pos="5875"/>
              </w:tabs>
              <w:spacing w:line="259" w:lineRule="auto"/>
              <w:rPr>
                <w:color w:val="000000" w:themeColor="text1"/>
                <w:lang w:val="es-UY"/>
              </w:rPr>
            </w:pPr>
            <w:r w:rsidRPr="00635CC7">
              <w:rPr>
                <w:color w:val="000000" w:themeColor="text1"/>
                <w:sz w:val="22"/>
                <w:lang w:val="es-UY"/>
              </w:rPr>
              <w:t xml:space="preserve">Archivo </w:t>
            </w:r>
            <w:r w:rsidRPr="00635CC7">
              <w:rPr>
                <w:color w:val="000000" w:themeColor="text1"/>
                <w:sz w:val="22"/>
                <w:lang w:val="es-UY"/>
              </w:rPr>
              <w:tab/>
              <w:t xml:space="preserve">de </w:t>
            </w:r>
            <w:r w:rsidRPr="00635CC7">
              <w:rPr>
                <w:color w:val="000000" w:themeColor="text1"/>
                <w:sz w:val="22"/>
                <w:lang w:val="es-UY"/>
              </w:rPr>
              <w:tab/>
              <w:t xml:space="preserve">la </w:t>
            </w:r>
            <w:r w:rsidRPr="00635CC7">
              <w:rPr>
                <w:color w:val="000000" w:themeColor="text1"/>
                <w:sz w:val="22"/>
                <w:lang w:val="es-UY"/>
              </w:rPr>
              <w:tab/>
              <w:t xml:space="preserve">CCRVMA </w:t>
            </w:r>
            <w:r w:rsidRPr="00635CC7">
              <w:rPr>
                <w:color w:val="000000" w:themeColor="text1"/>
                <w:sz w:val="22"/>
                <w:lang w:val="es-UY"/>
              </w:rPr>
              <w:tab/>
              <w:t xml:space="preserve">sobre </w:t>
            </w:r>
            <w:r w:rsidRPr="00635CC7">
              <w:rPr>
                <w:color w:val="000000" w:themeColor="text1"/>
                <w:sz w:val="22"/>
                <w:lang w:val="es-UY"/>
              </w:rPr>
              <w:tab/>
              <w:t xml:space="preserve">artes </w:t>
            </w:r>
            <w:r w:rsidRPr="00635CC7">
              <w:rPr>
                <w:color w:val="000000" w:themeColor="text1"/>
                <w:sz w:val="22"/>
                <w:lang w:val="es-UY"/>
              </w:rPr>
              <w:tab/>
              <w:t xml:space="preserve">de </w:t>
            </w:r>
            <w:r w:rsidRPr="00635CC7">
              <w:rPr>
                <w:color w:val="000000" w:themeColor="text1"/>
                <w:sz w:val="22"/>
                <w:lang w:val="es-UY"/>
              </w:rPr>
              <w:tab/>
              <w:t xml:space="preserve">pesca </w:t>
            </w:r>
            <w:r w:rsidRPr="00635CC7">
              <w:rPr>
                <w:color w:val="000000" w:themeColor="text1"/>
                <w:sz w:val="22"/>
                <w:lang w:val="es-UY"/>
              </w:rPr>
              <w:tab/>
              <w:t>en</w:t>
            </w:r>
          </w:p>
          <w:p w14:paraId="4F37F3B5" w14:textId="7C50A706" w:rsidR="00ED5E1A" w:rsidRPr="00635CC7" w:rsidRDefault="00ED5E1A" w:rsidP="00ED5E1A">
            <w:pPr>
              <w:spacing w:line="259" w:lineRule="auto"/>
              <w:rPr>
                <w:color w:val="595959" w:themeColor="text1" w:themeTint="A6"/>
                <w:lang w:val="es-UY"/>
              </w:rPr>
            </w:pPr>
            <w:r w:rsidRPr="00635CC7">
              <w:rPr>
                <w:color w:val="000000" w:themeColor="text1"/>
                <w:sz w:val="22"/>
                <w:lang w:val="es-UY"/>
              </w:rPr>
              <w:t>https://www.ccamlr.org/es/publications/archivo-de-referenciasobre-artes-de-pesca).</w:t>
            </w:r>
          </w:p>
        </w:tc>
      </w:tr>
      <w:tr w:rsidR="00ED5E1A" w:rsidRPr="00635CC7" w14:paraId="3367616D" w14:textId="77777777" w:rsidTr="00ED5E1A">
        <w:trPr>
          <w:trHeight w:val="1010"/>
        </w:trPr>
        <w:tc>
          <w:tcPr>
            <w:tcW w:w="2746" w:type="dxa"/>
            <w:tcBorders>
              <w:top w:val="single" w:sz="4" w:space="0" w:color="000000"/>
              <w:left w:val="single" w:sz="4" w:space="0" w:color="000000"/>
              <w:bottom w:val="single" w:sz="4" w:space="0" w:color="000000"/>
              <w:right w:val="single" w:sz="4" w:space="0" w:color="000000"/>
            </w:tcBorders>
            <w:vAlign w:val="center"/>
          </w:tcPr>
          <w:p w14:paraId="36FF2CDD" w14:textId="77777777" w:rsidR="00ED5E1A" w:rsidRPr="00635CC7" w:rsidRDefault="00ED5E1A" w:rsidP="00C334F9">
            <w:pPr>
              <w:spacing w:line="259" w:lineRule="auto"/>
              <w:rPr>
                <w:lang w:val="es-UY"/>
              </w:rPr>
            </w:pPr>
            <w:r w:rsidRPr="00635CC7">
              <w:rPr>
                <w:sz w:val="22"/>
                <w:lang w:val="es-UY"/>
              </w:rPr>
              <w:t xml:space="preserve">Métodos utilizados por el barco para determinar los factores de conversión </w:t>
            </w:r>
          </w:p>
        </w:tc>
        <w:tc>
          <w:tcPr>
            <w:tcW w:w="6255" w:type="dxa"/>
            <w:tcBorders>
              <w:top w:val="single" w:sz="4" w:space="0" w:color="000000"/>
              <w:left w:val="single" w:sz="4" w:space="0" w:color="000000"/>
              <w:bottom w:val="single" w:sz="4" w:space="0" w:color="000000"/>
              <w:right w:val="single" w:sz="4" w:space="0" w:color="000000"/>
            </w:tcBorders>
            <w:vAlign w:val="center"/>
          </w:tcPr>
          <w:p w14:paraId="7668F40C" w14:textId="30ACEF7D" w:rsidR="00ED5E1A" w:rsidRPr="00635CC7" w:rsidRDefault="00ED5E1A" w:rsidP="00C334F9">
            <w:pPr>
              <w:spacing w:line="259" w:lineRule="auto"/>
              <w:rPr>
                <w:lang w:val="es-UY"/>
              </w:rPr>
            </w:pPr>
            <w:r w:rsidRPr="00635CC7">
              <w:rPr>
                <w:sz w:val="22"/>
                <w:lang w:val="es-UY"/>
              </w:rPr>
              <w:t>Los factores de conversión se revisan semanalmente y se actualizan en función del valor calculado por el Observador, de acuerdo al procedimiento establecido.</w:t>
            </w:r>
          </w:p>
        </w:tc>
      </w:tr>
      <w:tr w:rsidR="00ED5E1A" w14:paraId="01E20F59" w14:textId="77777777" w:rsidTr="00ED5E1A">
        <w:trPr>
          <w:trHeight w:val="756"/>
        </w:trPr>
        <w:tc>
          <w:tcPr>
            <w:tcW w:w="2746" w:type="dxa"/>
            <w:tcBorders>
              <w:top w:val="single" w:sz="4" w:space="0" w:color="000000"/>
              <w:left w:val="single" w:sz="4" w:space="0" w:color="000000"/>
              <w:bottom w:val="single" w:sz="4" w:space="0" w:color="000000"/>
              <w:right w:val="single" w:sz="4" w:space="0" w:color="000000"/>
            </w:tcBorders>
            <w:vAlign w:val="center"/>
          </w:tcPr>
          <w:p w14:paraId="2011702F" w14:textId="77777777" w:rsidR="00ED5E1A" w:rsidRPr="00635CC7" w:rsidRDefault="00ED5E1A" w:rsidP="00C334F9">
            <w:pPr>
              <w:spacing w:line="259" w:lineRule="auto"/>
              <w:rPr>
                <w:lang w:val="es-UY"/>
              </w:rPr>
            </w:pPr>
            <w:r w:rsidRPr="00635CC7">
              <w:rPr>
                <w:sz w:val="22"/>
                <w:lang w:val="es-UY"/>
              </w:rPr>
              <w:t xml:space="preserve">Subárea o división de las actividades de pesca  </w:t>
            </w:r>
          </w:p>
        </w:tc>
        <w:tc>
          <w:tcPr>
            <w:tcW w:w="6255" w:type="dxa"/>
            <w:tcBorders>
              <w:top w:val="single" w:sz="4" w:space="0" w:color="000000"/>
              <w:left w:val="single" w:sz="4" w:space="0" w:color="000000"/>
              <w:bottom w:val="single" w:sz="4" w:space="0" w:color="000000"/>
              <w:right w:val="single" w:sz="4" w:space="0" w:color="000000"/>
            </w:tcBorders>
            <w:vAlign w:val="center"/>
          </w:tcPr>
          <w:p w14:paraId="58098FE4" w14:textId="77777777" w:rsidR="00ED5E1A" w:rsidRPr="00ED5E1A" w:rsidRDefault="00ED5E1A" w:rsidP="00C334F9">
            <w:pPr>
              <w:spacing w:line="259" w:lineRule="auto"/>
              <w:rPr>
                <w:b/>
                <w:bCs/>
              </w:rPr>
            </w:pPr>
            <w:proofErr w:type="spellStart"/>
            <w:r w:rsidRPr="00ED5E1A">
              <w:rPr>
                <w:b/>
                <w:bCs/>
                <w:sz w:val="22"/>
              </w:rPr>
              <w:t>Subárea</w:t>
            </w:r>
            <w:proofErr w:type="spellEnd"/>
            <w:r w:rsidRPr="00ED5E1A">
              <w:rPr>
                <w:b/>
                <w:bCs/>
                <w:sz w:val="22"/>
              </w:rPr>
              <w:t xml:space="preserve"> 88.2 </w:t>
            </w:r>
          </w:p>
        </w:tc>
      </w:tr>
      <w:tr w:rsidR="00ED5E1A" w:rsidRPr="00635CC7" w14:paraId="2138C105" w14:textId="77777777" w:rsidTr="00ED5E1A">
        <w:trPr>
          <w:trHeight w:val="1634"/>
        </w:trPr>
        <w:tc>
          <w:tcPr>
            <w:tcW w:w="2746" w:type="dxa"/>
            <w:tcBorders>
              <w:top w:val="single" w:sz="4" w:space="0" w:color="000000"/>
              <w:left w:val="single" w:sz="4" w:space="0" w:color="000000"/>
              <w:bottom w:val="single" w:sz="8" w:space="0" w:color="000000"/>
              <w:right w:val="single" w:sz="4" w:space="0" w:color="000000"/>
            </w:tcBorders>
            <w:vAlign w:val="center"/>
          </w:tcPr>
          <w:p w14:paraId="587383ED" w14:textId="77777777" w:rsidR="00ED5E1A" w:rsidRPr="00635CC7" w:rsidRDefault="00ED5E1A" w:rsidP="00C334F9">
            <w:pPr>
              <w:spacing w:line="259" w:lineRule="auto"/>
              <w:rPr>
                <w:lang w:val="es-UY"/>
              </w:rPr>
            </w:pPr>
            <w:r w:rsidRPr="00635CC7">
              <w:rPr>
                <w:sz w:val="22"/>
                <w:lang w:val="es-UY"/>
              </w:rPr>
              <w:t xml:space="preserve">Nivel máximo de captura propuesto para la próxima temporada </w:t>
            </w:r>
          </w:p>
        </w:tc>
        <w:tc>
          <w:tcPr>
            <w:tcW w:w="6255" w:type="dxa"/>
            <w:tcBorders>
              <w:top w:val="single" w:sz="4" w:space="0" w:color="000000"/>
              <w:left w:val="single" w:sz="4" w:space="0" w:color="000000"/>
              <w:bottom w:val="single" w:sz="8" w:space="0" w:color="000000"/>
              <w:right w:val="single" w:sz="4" w:space="0" w:color="000000"/>
            </w:tcBorders>
            <w:vAlign w:val="center"/>
          </w:tcPr>
          <w:p w14:paraId="7E687C3D" w14:textId="77777777" w:rsidR="00ED5E1A" w:rsidRPr="00635CC7" w:rsidRDefault="00ED5E1A" w:rsidP="00ED5E1A">
            <w:pPr>
              <w:widowControl w:val="0"/>
              <w:rPr>
                <w:lang w:val="es-UY"/>
              </w:rPr>
            </w:pPr>
            <w:r>
              <w:rPr>
                <w:rFonts w:eastAsia="Calibri" w:cs="Times New Roman"/>
                <w:color w:val="000000"/>
                <w:sz w:val="22"/>
                <w:szCs w:val="22"/>
                <w:lang w:val="es-ES" w:eastAsia="en-US"/>
              </w:rPr>
              <w:t>Se establece que e</w:t>
            </w:r>
            <w:r w:rsidRPr="00BD505E">
              <w:rPr>
                <w:rFonts w:eastAsia="Calibri" w:cs="Times New Roman"/>
                <w:color w:val="000000"/>
                <w:sz w:val="22"/>
                <w:szCs w:val="22"/>
                <w:lang w:val="es-ES" w:eastAsia="en-US"/>
              </w:rPr>
              <w:t>l nivel de capturas se adecuará a los TAC establecidos para cada área geográfica de gestión (UIPE). Los límites de captura para la temporada 202</w:t>
            </w:r>
            <w:r>
              <w:rPr>
                <w:rFonts w:eastAsia="Calibri" w:cs="Times New Roman"/>
                <w:color w:val="000000"/>
                <w:sz w:val="22"/>
                <w:szCs w:val="22"/>
                <w:lang w:val="es-ES" w:eastAsia="en-US"/>
              </w:rPr>
              <w:t>6</w:t>
            </w:r>
            <w:r w:rsidRPr="00BD505E">
              <w:rPr>
                <w:rFonts w:eastAsia="Calibri" w:cs="Times New Roman"/>
                <w:color w:val="000000"/>
                <w:sz w:val="22"/>
                <w:szCs w:val="22"/>
                <w:lang w:val="es-ES" w:eastAsia="en-US"/>
              </w:rPr>
              <w:t>/2</w:t>
            </w:r>
            <w:r>
              <w:rPr>
                <w:rFonts w:eastAsia="Calibri" w:cs="Times New Roman"/>
                <w:color w:val="000000"/>
                <w:sz w:val="22"/>
                <w:szCs w:val="22"/>
                <w:lang w:val="es-ES" w:eastAsia="en-US"/>
              </w:rPr>
              <w:t>7</w:t>
            </w:r>
            <w:r w:rsidRPr="00BD505E">
              <w:rPr>
                <w:rFonts w:eastAsia="Calibri" w:cs="Times New Roman"/>
                <w:color w:val="000000"/>
                <w:sz w:val="22"/>
                <w:szCs w:val="22"/>
                <w:lang w:val="es-ES" w:eastAsia="en-US"/>
              </w:rPr>
              <w:t xml:space="preserve"> serán establecidos </w:t>
            </w:r>
            <w:r>
              <w:rPr>
                <w:rFonts w:eastAsia="Calibri" w:cs="Times New Roman"/>
                <w:color w:val="000000"/>
                <w:sz w:val="22"/>
                <w:szCs w:val="22"/>
                <w:lang w:val="es-ES" w:eastAsia="en-US"/>
              </w:rPr>
              <w:t>por la CCRVMA.</w:t>
            </w:r>
            <w:r w:rsidRPr="00BD505E">
              <w:rPr>
                <w:rFonts w:eastAsia="Calibri" w:cs="Times New Roman"/>
                <w:color w:val="000000"/>
                <w:sz w:val="22"/>
                <w:szCs w:val="22"/>
                <w:lang w:val="es-ES" w:eastAsia="en-US"/>
              </w:rPr>
              <w:t xml:space="preserve"> </w:t>
            </w:r>
            <w:r w:rsidRPr="00635CC7">
              <w:rPr>
                <w:lang w:val="es-UY"/>
              </w:rPr>
              <w:t>Los niveles de captura estarán condicionados por factores como: cobertura de hielo, la duración de la temporada y las extracciones de los barcos de pabellón de otros Miembros.</w:t>
            </w:r>
          </w:p>
          <w:p w14:paraId="6298F696" w14:textId="47BB5836" w:rsidR="00ED5E1A" w:rsidRPr="00ED5E1A" w:rsidRDefault="00ED5E1A" w:rsidP="00ED5E1A">
            <w:pPr>
              <w:widowControl w:val="0"/>
              <w:rPr>
                <w:rFonts w:eastAsia="Calibri" w:cs="Times New Roman"/>
                <w:color w:val="000000"/>
                <w:sz w:val="22"/>
                <w:szCs w:val="22"/>
                <w:lang w:val="es-ES" w:eastAsia="en-US"/>
              </w:rPr>
            </w:pPr>
          </w:p>
        </w:tc>
      </w:tr>
    </w:tbl>
    <w:p w14:paraId="6811F698" w14:textId="77777777" w:rsidR="00A3197A" w:rsidRPr="00635CC7" w:rsidRDefault="00A3197A" w:rsidP="00E328D4">
      <w:pPr>
        <w:pStyle w:val="Default"/>
        <w:widowControl w:val="0"/>
        <w:rPr>
          <w:b/>
          <w:color w:val="auto"/>
          <w:sz w:val="22"/>
          <w:szCs w:val="22"/>
          <w:lang w:val="es-UY"/>
        </w:rPr>
      </w:pPr>
    </w:p>
    <w:p w14:paraId="50221031" w14:textId="77777777" w:rsidR="00E328D4" w:rsidRPr="00635CC7" w:rsidRDefault="00E328D4" w:rsidP="00E328D4">
      <w:pPr>
        <w:pStyle w:val="Default"/>
        <w:widowControl w:val="0"/>
        <w:rPr>
          <w:b/>
          <w:color w:val="auto"/>
          <w:sz w:val="22"/>
          <w:szCs w:val="22"/>
          <w:lang w:val="es-UY"/>
        </w:rPr>
      </w:pPr>
    </w:p>
    <w:p w14:paraId="3783AF10" w14:textId="77777777" w:rsidR="00AE7ED5" w:rsidRPr="00635CC7" w:rsidRDefault="00AE7ED5" w:rsidP="00E328D4">
      <w:pPr>
        <w:pStyle w:val="Default"/>
        <w:widowControl w:val="0"/>
        <w:rPr>
          <w:b/>
          <w:color w:val="auto"/>
          <w:sz w:val="22"/>
          <w:szCs w:val="22"/>
          <w:lang w:val="es-UY"/>
        </w:rPr>
      </w:pPr>
    </w:p>
    <w:p w14:paraId="3B4FBC51" w14:textId="77777777" w:rsidR="00436BA1" w:rsidRDefault="00C83ECC" w:rsidP="00436BA1">
      <w:pPr>
        <w:pStyle w:val="subparagraph"/>
        <w:spacing w:after="0"/>
        <w:ind w:left="567"/>
      </w:pPr>
      <w:r w:rsidRPr="004112DC">
        <w:t>(b)</w:t>
      </w:r>
      <w:r w:rsidRPr="004112DC">
        <w:tab/>
      </w:r>
      <w:r w:rsidR="00B87256" w:rsidRPr="00B87256">
        <w:t>Specification and full description of the types of fishing gear to be used</w:t>
      </w:r>
      <w:r w:rsidR="00436BA1">
        <w:t>.</w:t>
      </w:r>
    </w:p>
    <w:p w14:paraId="3E25677F" w14:textId="77777777" w:rsidR="00436BA1" w:rsidRDefault="00436BA1" w:rsidP="00436BA1">
      <w:pPr>
        <w:pStyle w:val="subparagraph"/>
        <w:spacing w:after="0"/>
        <w:ind w:left="567"/>
      </w:pPr>
    </w:p>
    <w:p w14:paraId="556B3C56" w14:textId="1F3EF2BD" w:rsidR="00B357EA" w:rsidRPr="00635CC7" w:rsidRDefault="00B357EA" w:rsidP="00436BA1">
      <w:pPr>
        <w:pStyle w:val="subparagraph"/>
        <w:spacing w:after="0"/>
        <w:ind w:left="567"/>
        <w:rPr>
          <w:rFonts w:cs="Times New Roman"/>
          <w:sz w:val="20"/>
          <w:szCs w:val="20"/>
          <w:lang w:val="es-UY"/>
        </w:rPr>
      </w:pPr>
      <w:r w:rsidRPr="00635CC7">
        <w:rPr>
          <w:rFonts w:cs="Times New Roman"/>
          <w:sz w:val="20"/>
          <w:szCs w:val="20"/>
          <w:lang w:val="es-UY"/>
        </w:rPr>
        <w:t xml:space="preserve">(b) Especificación y descripción completa de los tipos de artes de pesca que se utilizarán. </w:t>
      </w:r>
    </w:p>
    <w:p w14:paraId="2CA286FC" w14:textId="77777777" w:rsidR="00B357EA" w:rsidRPr="00635CC7" w:rsidRDefault="00B357EA" w:rsidP="00B357EA">
      <w:pPr>
        <w:pStyle w:val="subparagraph"/>
        <w:spacing w:after="0" w:line="240" w:lineRule="auto"/>
        <w:jc w:val="both"/>
        <w:rPr>
          <w:rFonts w:cs="Times New Roman"/>
          <w:sz w:val="20"/>
          <w:szCs w:val="20"/>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B357EA" w:rsidRPr="005905FF" w14:paraId="1CD7043E" w14:textId="77777777" w:rsidTr="002F683B">
        <w:trPr>
          <w:trHeight w:val="820"/>
        </w:trPr>
        <w:tc>
          <w:tcPr>
            <w:tcW w:w="9242" w:type="dxa"/>
          </w:tcPr>
          <w:p w14:paraId="016DC65C" w14:textId="37AB0291"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Línea lastrada integrada: Si</w:t>
            </w:r>
          </w:p>
          <w:p w14:paraId="6B5F7037" w14:textId="77777777"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Lastre integrado:30 g/m</w:t>
            </w:r>
          </w:p>
          <w:p w14:paraId="4760E20C" w14:textId="19E9C936"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Plomos para palangre: S</w:t>
            </w:r>
            <w:r w:rsidR="00720A7C">
              <w:rPr>
                <w:rFonts w:cs="Times New Roman"/>
                <w:color w:val="222222"/>
                <w:sz w:val="22"/>
                <w:szCs w:val="22"/>
                <w:lang w:val="es-ES" w:eastAsia="es-ES"/>
              </w:rPr>
              <w:t>i</w:t>
            </w:r>
          </w:p>
          <w:p w14:paraId="6ACCB34F" w14:textId="77777777"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Material de los plomos para palangre: Acero</w:t>
            </w:r>
          </w:p>
          <w:p w14:paraId="4A07CC71" w14:textId="77777777"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lastRenderedPageBreak/>
              <w:t>Masa mínima de los plomos para palangre: 8 kg</w:t>
            </w:r>
          </w:p>
          <w:p w14:paraId="283AF6E0" w14:textId="77777777"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Distancia máxima entre plomos para palangre: 80 m</w:t>
            </w:r>
          </w:p>
          <w:p w14:paraId="791DB175" w14:textId="77777777" w:rsidR="00B357EA" w:rsidRPr="006956B3"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Distancia entre anzuelos: 1,2 m</w:t>
            </w:r>
          </w:p>
          <w:p w14:paraId="032DDDA7" w14:textId="77777777" w:rsidR="00B357EA" w:rsidRDefault="00B357EA" w:rsidP="00B357EA">
            <w:pPr>
              <w:shd w:val="clear" w:color="auto" w:fill="FFFFFF"/>
              <w:textAlignment w:val="top"/>
              <w:rPr>
                <w:rFonts w:cs="Times New Roman"/>
                <w:color w:val="222222"/>
                <w:sz w:val="22"/>
                <w:szCs w:val="22"/>
                <w:lang w:val="es-ES" w:eastAsia="es-ES"/>
              </w:rPr>
            </w:pPr>
            <w:r w:rsidRPr="006956B3">
              <w:rPr>
                <w:rFonts w:cs="Times New Roman"/>
                <w:color w:val="222222"/>
                <w:sz w:val="22"/>
                <w:szCs w:val="22"/>
                <w:lang w:val="es-ES" w:eastAsia="es-ES"/>
              </w:rPr>
              <w:t>Longitud del bajo de línea: 0,4 m</w:t>
            </w:r>
          </w:p>
          <w:p w14:paraId="5858BC66" w14:textId="005BB8F0" w:rsidR="001E5A93" w:rsidRPr="00635CC7" w:rsidRDefault="001E5A93" w:rsidP="001E5A93">
            <w:pPr>
              <w:spacing w:after="25" w:line="239" w:lineRule="auto"/>
              <w:rPr>
                <w:color w:val="000000" w:themeColor="text1"/>
                <w:lang w:val="es-UY"/>
              </w:rPr>
            </w:pPr>
            <w:r w:rsidRPr="00635CC7">
              <w:rPr>
                <w:color w:val="000000" w:themeColor="text1"/>
                <w:sz w:val="22"/>
                <w:lang w:val="es-UY"/>
              </w:rPr>
              <w:t xml:space="preserve">(véase el Archivo </w:t>
            </w:r>
            <w:r w:rsidRPr="00635CC7">
              <w:rPr>
                <w:color w:val="000000" w:themeColor="text1"/>
                <w:sz w:val="22"/>
                <w:lang w:val="es-UY"/>
              </w:rPr>
              <w:tab/>
              <w:t xml:space="preserve">de </w:t>
            </w:r>
            <w:r w:rsidRPr="00635CC7">
              <w:rPr>
                <w:color w:val="000000" w:themeColor="text1"/>
                <w:sz w:val="22"/>
                <w:lang w:val="es-UY"/>
              </w:rPr>
              <w:tab/>
              <w:t xml:space="preserve">la </w:t>
            </w:r>
            <w:r w:rsidRPr="00635CC7">
              <w:rPr>
                <w:color w:val="000000" w:themeColor="text1"/>
                <w:sz w:val="22"/>
                <w:lang w:val="es-UY"/>
              </w:rPr>
              <w:tab/>
              <w:t xml:space="preserve">CCRVMA </w:t>
            </w:r>
            <w:r w:rsidRPr="00635CC7">
              <w:rPr>
                <w:color w:val="000000" w:themeColor="text1"/>
                <w:sz w:val="22"/>
                <w:lang w:val="es-UY"/>
              </w:rPr>
              <w:tab/>
              <w:t xml:space="preserve">sobre </w:t>
            </w:r>
            <w:r w:rsidRPr="00635CC7">
              <w:rPr>
                <w:color w:val="000000" w:themeColor="text1"/>
                <w:sz w:val="22"/>
                <w:lang w:val="es-UY"/>
              </w:rPr>
              <w:tab/>
              <w:t xml:space="preserve">artes </w:t>
            </w:r>
            <w:r w:rsidRPr="00635CC7">
              <w:rPr>
                <w:color w:val="000000" w:themeColor="text1"/>
                <w:sz w:val="22"/>
                <w:lang w:val="es-UY"/>
              </w:rPr>
              <w:tab/>
              <w:t xml:space="preserve">de </w:t>
            </w:r>
            <w:r w:rsidRPr="00635CC7">
              <w:rPr>
                <w:color w:val="000000" w:themeColor="text1"/>
                <w:sz w:val="22"/>
                <w:lang w:val="es-UY"/>
              </w:rPr>
              <w:tab/>
              <w:t xml:space="preserve">pesca </w:t>
            </w:r>
            <w:r w:rsidRPr="00635CC7">
              <w:rPr>
                <w:color w:val="000000" w:themeColor="text1"/>
                <w:sz w:val="22"/>
                <w:lang w:val="es-UY"/>
              </w:rPr>
              <w:tab/>
              <w:t>en</w:t>
            </w:r>
          </w:p>
          <w:p w14:paraId="6F70E582" w14:textId="474C6228" w:rsidR="001E5A93" w:rsidRPr="00635CC7" w:rsidRDefault="001E5A93" w:rsidP="001E5A93">
            <w:pPr>
              <w:shd w:val="clear" w:color="auto" w:fill="FFFFFF"/>
              <w:textAlignment w:val="top"/>
              <w:rPr>
                <w:color w:val="000000" w:themeColor="text1"/>
                <w:sz w:val="22"/>
                <w:lang w:val="es-UY"/>
              </w:rPr>
            </w:pPr>
            <w:r>
              <w:fldChar w:fldCharType="begin"/>
            </w:r>
            <w:r w:rsidRPr="00635CC7">
              <w:rPr>
                <w:lang w:val="es-UY"/>
              </w:rPr>
              <w:instrText>HYPERLINK "https://www.ccamlr.org/es/publications/archivo-de-referenciasobre-artes-de-pesca"</w:instrText>
            </w:r>
            <w:r>
              <w:fldChar w:fldCharType="separate"/>
            </w:r>
            <w:r w:rsidRPr="00635CC7">
              <w:rPr>
                <w:rStyle w:val="Hipervnculo"/>
                <w:sz w:val="22"/>
                <w:lang w:val="es-UY"/>
              </w:rPr>
              <w:t>https://www.ccamlr.org/es/publications/archivo-de-referenciasobre-artes-de-pesca</w:t>
            </w:r>
            <w:r>
              <w:fldChar w:fldCharType="end"/>
            </w:r>
            <w:r w:rsidRPr="00635CC7">
              <w:rPr>
                <w:color w:val="000000" w:themeColor="text1"/>
                <w:sz w:val="22"/>
                <w:lang w:val="es-UY"/>
              </w:rPr>
              <w:t>).</w:t>
            </w:r>
          </w:p>
          <w:p w14:paraId="7A5BF767" w14:textId="77777777" w:rsidR="001E5A93" w:rsidRPr="00635CC7" w:rsidRDefault="001E5A93" w:rsidP="001E5A93">
            <w:pPr>
              <w:shd w:val="clear" w:color="auto" w:fill="FFFFFF"/>
              <w:textAlignment w:val="top"/>
              <w:rPr>
                <w:rFonts w:cs="Times New Roman"/>
                <w:color w:val="222222"/>
                <w:sz w:val="22"/>
                <w:szCs w:val="22"/>
                <w:lang w:val="es-UY" w:eastAsia="es-ES"/>
              </w:rPr>
            </w:pPr>
          </w:p>
          <w:p w14:paraId="119D04CC" w14:textId="77777777" w:rsidR="00B357EA" w:rsidRPr="00635CC7" w:rsidRDefault="00B357EA" w:rsidP="00B357EA">
            <w:pPr>
              <w:shd w:val="clear" w:color="auto" w:fill="FFFFFF"/>
              <w:textAlignment w:val="top"/>
              <w:rPr>
                <w:rFonts w:cs="Times New Roman"/>
                <w:color w:val="222222"/>
                <w:sz w:val="22"/>
                <w:szCs w:val="22"/>
                <w:lang w:val="es-UY" w:eastAsia="es-ES"/>
              </w:rPr>
            </w:pPr>
          </w:p>
          <w:tbl>
            <w:tblPr>
              <w:tblW w:w="4474" w:type="dxa"/>
              <w:jc w:val="center"/>
              <w:tblLayout w:type="fixed"/>
              <w:tblLook w:val="0000" w:firstRow="0" w:lastRow="0" w:firstColumn="0" w:lastColumn="0" w:noHBand="0" w:noVBand="0"/>
            </w:tblPr>
            <w:tblGrid>
              <w:gridCol w:w="2332"/>
              <w:gridCol w:w="2142"/>
            </w:tblGrid>
            <w:tr w:rsidR="003B79C3" w:rsidRPr="00754C51" w14:paraId="0FB971A8" w14:textId="77777777" w:rsidTr="004B1038">
              <w:trPr>
                <w:cantSplit/>
                <w:trHeight w:val="43"/>
                <w:jc w:val="center"/>
              </w:trPr>
              <w:tc>
                <w:tcPr>
                  <w:tcW w:w="4474" w:type="dxa"/>
                  <w:gridSpan w:val="2"/>
                  <w:tcBorders>
                    <w:top w:val="single" w:sz="4" w:space="0" w:color="auto"/>
                    <w:left w:val="single" w:sz="4" w:space="0" w:color="auto"/>
                    <w:bottom w:val="single" w:sz="4" w:space="0" w:color="auto"/>
                    <w:right w:val="single" w:sz="4" w:space="0" w:color="auto"/>
                  </w:tcBorders>
                </w:tcPr>
                <w:p w14:paraId="0CBB7D0F" w14:textId="77777777" w:rsidR="003B79C3" w:rsidRPr="00EC13DB" w:rsidRDefault="003B79C3" w:rsidP="003B79C3">
                  <w:pPr>
                    <w:jc w:val="center"/>
                    <w:rPr>
                      <w:rFonts w:cs="Times New Roman"/>
                      <w:bCs/>
                      <w:sz w:val="20"/>
                      <w:lang w:val="es-ES" w:eastAsia="en-US"/>
                    </w:rPr>
                  </w:pPr>
                  <w:r w:rsidRPr="00EC13DB">
                    <w:rPr>
                      <w:rFonts w:cs="Times New Roman"/>
                      <w:bCs/>
                      <w:sz w:val="20"/>
                      <w:lang w:val="es-ES" w:eastAsia="en-US"/>
                    </w:rPr>
                    <w:t xml:space="preserve">Descripción </w:t>
                  </w:r>
                  <w:r>
                    <w:rPr>
                      <w:rFonts w:cs="Times New Roman"/>
                      <w:bCs/>
                      <w:sz w:val="20"/>
                      <w:lang w:val="es-ES" w:eastAsia="en-US"/>
                    </w:rPr>
                    <w:t xml:space="preserve">de </w:t>
                  </w:r>
                  <w:r w:rsidRPr="00EC13DB">
                    <w:rPr>
                      <w:rFonts w:cs="Times New Roman"/>
                      <w:bCs/>
                      <w:sz w:val="20"/>
                      <w:lang w:val="es-ES" w:eastAsia="en-US"/>
                    </w:rPr>
                    <w:t xml:space="preserve">anzuelos </w:t>
                  </w:r>
                </w:p>
              </w:tc>
            </w:tr>
            <w:tr w:rsidR="003B79C3" w:rsidRPr="00062211" w14:paraId="11670A09" w14:textId="77777777" w:rsidTr="004B1038">
              <w:trPr>
                <w:cantSplit/>
                <w:trHeight w:val="43"/>
                <w:jc w:val="center"/>
              </w:trPr>
              <w:tc>
                <w:tcPr>
                  <w:tcW w:w="2332" w:type="dxa"/>
                  <w:tcBorders>
                    <w:top w:val="single" w:sz="4" w:space="0" w:color="auto"/>
                    <w:left w:val="single" w:sz="4" w:space="0" w:color="auto"/>
                    <w:bottom w:val="single" w:sz="4" w:space="0" w:color="auto"/>
                    <w:right w:val="single" w:sz="4" w:space="0" w:color="auto"/>
                  </w:tcBorders>
                </w:tcPr>
                <w:p w14:paraId="5849FF44" w14:textId="77777777" w:rsidR="003B79C3" w:rsidRPr="00062211" w:rsidRDefault="003B79C3" w:rsidP="003B79C3">
                  <w:pPr>
                    <w:rPr>
                      <w:rFonts w:cs="Times New Roman"/>
                      <w:sz w:val="20"/>
                      <w:lang w:eastAsia="en-US"/>
                    </w:rPr>
                  </w:pPr>
                  <w:r w:rsidRPr="00062211">
                    <w:rPr>
                      <w:rFonts w:cs="Times New Roman"/>
                      <w:sz w:val="20"/>
                      <w:lang w:eastAsia="en-US"/>
                    </w:rPr>
                    <w:t>Tipo</w:t>
                  </w:r>
                </w:p>
              </w:tc>
              <w:tc>
                <w:tcPr>
                  <w:tcW w:w="2142" w:type="dxa"/>
                  <w:tcBorders>
                    <w:top w:val="single" w:sz="4" w:space="0" w:color="auto"/>
                    <w:left w:val="single" w:sz="4" w:space="0" w:color="auto"/>
                    <w:bottom w:val="single" w:sz="4" w:space="0" w:color="auto"/>
                    <w:right w:val="single" w:sz="4" w:space="0" w:color="auto"/>
                  </w:tcBorders>
                </w:tcPr>
                <w:p w14:paraId="29D2A740" w14:textId="77777777" w:rsidR="003B79C3" w:rsidRPr="00062211" w:rsidRDefault="003B79C3" w:rsidP="003B79C3">
                  <w:pPr>
                    <w:jc w:val="center"/>
                    <w:rPr>
                      <w:rFonts w:cs="Times New Roman"/>
                      <w:sz w:val="20"/>
                      <w:lang w:eastAsia="en-US"/>
                    </w:rPr>
                  </w:pPr>
                  <w:r w:rsidRPr="00062211">
                    <w:rPr>
                      <w:rFonts w:cs="Times New Roman"/>
                      <w:sz w:val="20"/>
                      <w:lang w:eastAsia="en-US"/>
                    </w:rPr>
                    <w:t>Straight shank</w:t>
                  </w:r>
                </w:p>
              </w:tc>
            </w:tr>
            <w:tr w:rsidR="003B79C3" w:rsidRPr="00062211" w14:paraId="5B403F2E" w14:textId="77777777" w:rsidTr="004B1038">
              <w:trPr>
                <w:cantSplit/>
                <w:trHeight w:val="259"/>
                <w:jc w:val="center"/>
              </w:trPr>
              <w:tc>
                <w:tcPr>
                  <w:tcW w:w="2332" w:type="dxa"/>
                  <w:tcBorders>
                    <w:top w:val="single" w:sz="4" w:space="0" w:color="auto"/>
                    <w:left w:val="single" w:sz="4" w:space="0" w:color="auto"/>
                    <w:bottom w:val="single" w:sz="4" w:space="0" w:color="auto"/>
                    <w:right w:val="single" w:sz="4" w:space="0" w:color="auto"/>
                  </w:tcBorders>
                </w:tcPr>
                <w:p w14:paraId="38F8AF32" w14:textId="77777777" w:rsidR="003B79C3" w:rsidRPr="00062211" w:rsidRDefault="003B79C3" w:rsidP="003B79C3">
                  <w:pPr>
                    <w:rPr>
                      <w:rFonts w:cs="Times New Roman"/>
                      <w:sz w:val="20"/>
                      <w:lang w:eastAsia="en-US"/>
                    </w:rPr>
                  </w:pPr>
                  <w:r w:rsidRPr="00062211">
                    <w:rPr>
                      <w:rFonts w:cs="Times New Roman"/>
                      <w:sz w:val="20"/>
                      <w:lang w:eastAsia="en-US"/>
                    </w:rPr>
                    <w:t>Fabricante</w:t>
                  </w:r>
                </w:p>
              </w:tc>
              <w:tc>
                <w:tcPr>
                  <w:tcW w:w="2142" w:type="dxa"/>
                  <w:tcBorders>
                    <w:top w:val="single" w:sz="4" w:space="0" w:color="auto"/>
                    <w:left w:val="single" w:sz="4" w:space="0" w:color="auto"/>
                    <w:bottom w:val="single" w:sz="4" w:space="0" w:color="auto"/>
                    <w:right w:val="single" w:sz="4" w:space="0" w:color="auto"/>
                  </w:tcBorders>
                </w:tcPr>
                <w:p w14:paraId="3765E649" w14:textId="77777777" w:rsidR="003B79C3" w:rsidRPr="00062211" w:rsidRDefault="003B79C3" w:rsidP="003B79C3">
                  <w:pPr>
                    <w:jc w:val="center"/>
                    <w:rPr>
                      <w:rFonts w:cs="Times New Roman"/>
                      <w:sz w:val="20"/>
                      <w:lang w:eastAsia="en-US"/>
                    </w:rPr>
                  </w:pPr>
                  <w:r w:rsidRPr="00062211">
                    <w:rPr>
                      <w:rFonts w:cs="Times New Roman"/>
                      <w:sz w:val="20"/>
                      <w:lang w:eastAsia="en-US"/>
                    </w:rPr>
                    <w:t>“</w:t>
                  </w:r>
                  <w:proofErr w:type="spellStart"/>
                  <w:r w:rsidRPr="00062211">
                    <w:rPr>
                      <w:rFonts w:cs="Times New Roman"/>
                      <w:sz w:val="20"/>
                      <w:lang w:eastAsia="en-US"/>
                    </w:rPr>
                    <w:t>Fiskevegn</w:t>
                  </w:r>
                  <w:proofErr w:type="spellEnd"/>
                  <w:r w:rsidRPr="00062211">
                    <w:rPr>
                      <w:rFonts w:cs="Times New Roman"/>
                      <w:sz w:val="20"/>
                      <w:lang w:eastAsia="en-US"/>
                    </w:rPr>
                    <w:t>” 14/0</w:t>
                  </w:r>
                </w:p>
              </w:tc>
            </w:tr>
            <w:tr w:rsidR="003B79C3" w:rsidRPr="00062211" w14:paraId="33219145" w14:textId="77777777" w:rsidTr="004B1038">
              <w:trPr>
                <w:cantSplit/>
                <w:trHeight w:val="259"/>
                <w:jc w:val="center"/>
              </w:trPr>
              <w:tc>
                <w:tcPr>
                  <w:tcW w:w="2332" w:type="dxa"/>
                  <w:tcBorders>
                    <w:top w:val="single" w:sz="4" w:space="0" w:color="auto"/>
                    <w:left w:val="single" w:sz="4" w:space="0" w:color="auto"/>
                    <w:bottom w:val="single" w:sz="4" w:space="0" w:color="auto"/>
                    <w:right w:val="single" w:sz="4" w:space="0" w:color="auto"/>
                  </w:tcBorders>
                </w:tcPr>
                <w:p w14:paraId="4AC4BE8C" w14:textId="77777777" w:rsidR="003B79C3" w:rsidRPr="00062211" w:rsidRDefault="003B79C3" w:rsidP="003B79C3">
                  <w:pPr>
                    <w:rPr>
                      <w:rFonts w:cs="Times New Roman"/>
                      <w:sz w:val="20"/>
                      <w:lang w:eastAsia="en-US"/>
                    </w:rPr>
                  </w:pPr>
                  <w:proofErr w:type="spellStart"/>
                  <w:r w:rsidRPr="00062211">
                    <w:rPr>
                      <w:rFonts w:cs="Times New Roman"/>
                      <w:sz w:val="20"/>
                      <w:lang w:eastAsia="en-US"/>
                    </w:rPr>
                    <w:t>Longitud</w:t>
                  </w:r>
                  <w:proofErr w:type="spellEnd"/>
                  <w:r w:rsidRPr="00062211">
                    <w:rPr>
                      <w:rFonts w:cs="Times New Roman"/>
                      <w:sz w:val="20"/>
                      <w:lang w:eastAsia="en-US"/>
                    </w:rPr>
                    <w:t xml:space="preserve"> total (mm)</w:t>
                  </w:r>
                </w:p>
              </w:tc>
              <w:tc>
                <w:tcPr>
                  <w:tcW w:w="2142" w:type="dxa"/>
                  <w:tcBorders>
                    <w:top w:val="single" w:sz="4" w:space="0" w:color="auto"/>
                    <w:left w:val="single" w:sz="4" w:space="0" w:color="auto"/>
                    <w:bottom w:val="single" w:sz="4" w:space="0" w:color="auto"/>
                    <w:right w:val="single" w:sz="4" w:space="0" w:color="auto"/>
                  </w:tcBorders>
                </w:tcPr>
                <w:p w14:paraId="78CEDDD8" w14:textId="77777777" w:rsidR="003B79C3" w:rsidRPr="00062211" w:rsidRDefault="003B79C3" w:rsidP="003B79C3">
                  <w:pPr>
                    <w:jc w:val="center"/>
                    <w:rPr>
                      <w:rFonts w:cs="Times New Roman"/>
                      <w:sz w:val="20"/>
                      <w:lang w:eastAsia="en-US"/>
                    </w:rPr>
                  </w:pPr>
                  <w:r w:rsidRPr="00062211">
                    <w:rPr>
                      <w:rFonts w:cs="Times New Roman"/>
                      <w:sz w:val="20"/>
                      <w:lang w:eastAsia="en-US"/>
                    </w:rPr>
                    <w:t>78</w:t>
                  </w:r>
                </w:p>
              </w:tc>
            </w:tr>
            <w:tr w:rsidR="003B79C3" w:rsidRPr="00062211" w14:paraId="09763556" w14:textId="77777777" w:rsidTr="004B1038">
              <w:trPr>
                <w:cantSplit/>
                <w:trHeight w:val="113"/>
                <w:jc w:val="center"/>
              </w:trPr>
              <w:tc>
                <w:tcPr>
                  <w:tcW w:w="2332" w:type="dxa"/>
                  <w:tcBorders>
                    <w:top w:val="single" w:sz="4" w:space="0" w:color="auto"/>
                    <w:left w:val="single" w:sz="4" w:space="0" w:color="auto"/>
                    <w:bottom w:val="single" w:sz="4" w:space="0" w:color="auto"/>
                    <w:right w:val="single" w:sz="4" w:space="0" w:color="auto"/>
                  </w:tcBorders>
                </w:tcPr>
                <w:p w14:paraId="29CEC9D4" w14:textId="77777777" w:rsidR="003B79C3" w:rsidRPr="00062211" w:rsidRDefault="003B79C3" w:rsidP="003B79C3">
                  <w:pPr>
                    <w:rPr>
                      <w:rFonts w:cs="Times New Roman"/>
                      <w:sz w:val="20"/>
                      <w:lang w:eastAsia="en-US"/>
                    </w:rPr>
                  </w:pPr>
                  <w:r w:rsidRPr="00062211">
                    <w:rPr>
                      <w:rFonts w:cs="Times New Roman"/>
                      <w:sz w:val="20"/>
                      <w:lang w:eastAsia="en-US"/>
                    </w:rPr>
                    <w:t>Brazo (mm)</w:t>
                  </w:r>
                </w:p>
              </w:tc>
              <w:tc>
                <w:tcPr>
                  <w:tcW w:w="2142" w:type="dxa"/>
                  <w:tcBorders>
                    <w:top w:val="single" w:sz="4" w:space="0" w:color="auto"/>
                    <w:left w:val="single" w:sz="4" w:space="0" w:color="auto"/>
                    <w:bottom w:val="single" w:sz="4" w:space="0" w:color="auto"/>
                    <w:right w:val="single" w:sz="4" w:space="0" w:color="auto"/>
                  </w:tcBorders>
                </w:tcPr>
                <w:p w14:paraId="7D21819C" w14:textId="77777777" w:rsidR="003B79C3" w:rsidRPr="00062211" w:rsidRDefault="003B79C3" w:rsidP="003B79C3">
                  <w:pPr>
                    <w:jc w:val="center"/>
                    <w:rPr>
                      <w:rFonts w:cs="Times New Roman"/>
                      <w:sz w:val="20"/>
                      <w:lang w:eastAsia="en-US"/>
                    </w:rPr>
                  </w:pPr>
                  <w:r w:rsidRPr="00062211">
                    <w:rPr>
                      <w:rFonts w:cs="Times New Roman"/>
                      <w:sz w:val="20"/>
                      <w:lang w:eastAsia="en-US"/>
                    </w:rPr>
                    <w:t>45</w:t>
                  </w:r>
                </w:p>
              </w:tc>
            </w:tr>
            <w:tr w:rsidR="003B79C3" w:rsidRPr="00062211" w14:paraId="5BBE23C0" w14:textId="77777777" w:rsidTr="004B1038">
              <w:trPr>
                <w:cantSplit/>
                <w:trHeight w:val="111"/>
                <w:jc w:val="center"/>
              </w:trPr>
              <w:tc>
                <w:tcPr>
                  <w:tcW w:w="2332" w:type="dxa"/>
                  <w:tcBorders>
                    <w:top w:val="single" w:sz="4" w:space="0" w:color="auto"/>
                    <w:left w:val="single" w:sz="4" w:space="0" w:color="auto"/>
                    <w:bottom w:val="single" w:sz="4" w:space="0" w:color="auto"/>
                    <w:right w:val="single" w:sz="4" w:space="0" w:color="auto"/>
                  </w:tcBorders>
                </w:tcPr>
                <w:p w14:paraId="16E8DADE" w14:textId="77777777" w:rsidR="003B79C3" w:rsidRPr="00062211" w:rsidRDefault="003B79C3" w:rsidP="003B79C3">
                  <w:pPr>
                    <w:rPr>
                      <w:rFonts w:cs="Times New Roman"/>
                      <w:sz w:val="20"/>
                      <w:lang w:eastAsia="en-US"/>
                    </w:rPr>
                  </w:pPr>
                  <w:proofErr w:type="spellStart"/>
                  <w:r w:rsidRPr="00062211">
                    <w:rPr>
                      <w:rFonts w:cs="Times New Roman"/>
                      <w:sz w:val="20"/>
                      <w:lang w:eastAsia="en-US"/>
                    </w:rPr>
                    <w:t>Anchura</w:t>
                  </w:r>
                  <w:proofErr w:type="spellEnd"/>
                  <w:r w:rsidRPr="00062211">
                    <w:rPr>
                      <w:rFonts w:cs="Times New Roman"/>
                      <w:sz w:val="20"/>
                      <w:lang w:eastAsia="en-US"/>
                    </w:rPr>
                    <w:t xml:space="preserve"> (mm</w:t>
                  </w:r>
                  <w:r>
                    <w:rPr>
                      <w:rFonts w:cs="Times New Roman"/>
                      <w:sz w:val="20"/>
                      <w:lang w:eastAsia="en-US"/>
                    </w:rPr>
                    <w:t>)</w:t>
                  </w:r>
                </w:p>
              </w:tc>
              <w:tc>
                <w:tcPr>
                  <w:tcW w:w="2142" w:type="dxa"/>
                  <w:tcBorders>
                    <w:top w:val="single" w:sz="4" w:space="0" w:color="auto"/>
                    <w:left w:val="single" w:sz="4" w:space="0" w:color="auto"/>
                    <w:bottom w:val="single" w:sz="4" w:space="0" w:color="auto"/>
                    <w:right w:val="single" w:sz="4" w:space="0" w:color="auto"/>
                  </w:tcBorders>
                </w:tcPr>
                <w:p w14:paraId="7E213A15" w14:textId="77777777" w:rsidR="003B79C3" w:rsidRPr="00062211" w:rsidRDefault="003B79C3" w:rsidP="003B79C3">
                  <w:pPr>
                    <w:jc w:val="center"/>
                    <w:rPr>
                      <w:rFonts w:cs="Times New Roman"/>
                      <w:sz w:val="20"/>
                      <w:lang w:eastAsia="en-US"/>
                    </w:rPr>
                  </w:pPr>
                  <w:r w:rsidRPr="00062211">
                    <w:rPr>
                      <w:rFonts w:cs="Times New Roman"/>
                      <w:sz w:val="20"/>
                      <w:lang w:eastAsia="en-US"/>
                    </w:rPr>
                    <w:t>16</w:t>
                  </w:r>
                </w:p>
              </w:tc>
            </w:tr>
            <w:tr w:rsidR="003B79C3" w:rsidRPr="00062211" w14:paraId="37742E4F" w14:textId="77777777" w:rsidTr="004B1038">
              <w:trPr>
                <w:cantSplit/>
                <w:trHeight w:val="111"/>
                <w:jc w:val="center"/>
              </w:trPr>
              <w:tc>
                <w:tcPr>
                  <w:tcW w:w="2332" w:type="dxa"/>
                  <w:tcBorders>
                    <w:top w:val="single" w:sz="4" w:space="0" w:color="auto"/>
                    <w:left w:val="single" w:sz="4" w:space="0" w:color="auto"/>
                    <w:bottom w:val="single" w:sz="4" w:space="0" w:color="auto"/>
                    <w:right w:val="single" w:sz="4" w:space="0" w:color="auto"/>
                  </w:tcBorders>
                </w:tcPr>
                <w:p w14:paraId="286E5AC9" w14:textId="77777777" w:rsidR="003B79C3" w:rsidRPr="00062211" w:rsidRDefault="003B79C3" w:rsidP="003B79C3">
                  <w:pPr>
                    <w:rPr>
                      <w:rFonts w:cs="Times New Roman"/>
                      <w:sz w:val="20"/>
                      <w:lang w:eastAsia="en-US"/>
                    </w:rPr>
                  </w:pPr>
                  <w:r w:rsidRPr="00062211">
                    <w:rPr>
                      <w:rFonts w:cs="Times New Roman"/>
                      <w:sz w:val="20"/>
                      <w:lang w:eastAsia="en-US"/>
                    </w:rPr>
                    <w:t>Garganta (mm)</w:t>
                  </w:r>
                </w:p>
              </w:tc>
              <w:tc>
                <w:tcPr>
                  <w:tcW w:w="2142" w:type="dxa"/>
                  <w:tcBorders>
                    <w:top w:val="single" w:sz="4" w:space="0" w:color="auto"/>
                    <w:left w:val="single" w:sz="4" w:space="0" w:color="auto"/>
                    <w:bottom w:val="single" w:sz="4" w:space="0" w:color="auto"/>
                    <w:right w:val="single" w:sz="4" w:space="0" w:color="auto"/>
                  </w:tcBorders>
                </w:tcPr>
                <w:p w14:paraId="2C9DA949" w14:textId="77777777" w:rsidR="003B79C3" w:rsidRPr="00062211" w:rsidRDefault="003B79C3" w:rsidP="003B79C3">
                  <w:pPr>
                    <w:jc w:val="center"/>
                    <w:rPr>
                      <w:rFonts w:cs="Times New Roman"/>
                      <w:sz w:val="20"/>
                      <w:lang w:eastAsia="en-US"/>
                    </w:rPr>
                  </w:pPr>
                  <w:r w:rsidRPr="00062211">
                    <w:rPr>
                      <w:rFonts w:cs="Times New Roman"/>
                      <w:sz w:val="20"/>
                      <w:lang w:eastAsia="en-US"/>
                    </w:rPr>
                    <w:t>33</w:t>
                  </w:r>
                </w:p>
              </w:tc>
            </w:tr>
            <w:tr w:rsidR="003B79C3" w:rsidRPr="00062211" w14:paraId="5B19A5A2" w14:textId="77777777" w:rsidTr="004B1038">
              <w:trPr>
                <w:cantSplit/>
                <w:trHeight w:val="278"/>
                <w:jc w:val="center"/>
              </w:trPr>
              <w:tc>
                <w:tcPr>
                  <w:tcW w:w="2332" w:type="dxa"/>
                  <w:tcBorders>
                    <w:top w:val="single" w:sz="4" w:space="0" w:color="auto"/>
                    <w:left w:val="single" w:sz="4" w:space="0" w:color="auto"/>
                    <w:bottom w:val="single" w:sz="4" w:space="0" w:color="auto"/>
                    <w:right w:val="single" w:sz="4" w:space="0" w:color="auto"/>
                  </w:tcBorders>
                </w:tcPr>
                <w:p w14:paraId="7F216FE7" w14:textId="77777777" w:rsidR="003B79C3" w:rsidRPr="00635CC7" w:rsidRDefault="003B79C3" w:rsidP="003B79C3">
                  <w:pPr>
                    <w:rPr>
                      <w:rFonts w:cs="Times New Roman"/>
                      <w:sz w:val="20"/>
                      <w:lang w:val="es-UY" w:eastAsia="en-US"/>
                    </w:rPr>
                  </w:pPr>
                  <w:r w:rsidRPr="00635CC7">
                    <w:rPr>
                      <w:rFonts w:cs="Times New Roman"/>
                      <w:sz w:val="20"/>
                      <w:lang w:val="es-UY" w:eastAsia="en-US"/>
                    </w:rPr>
                    <w:t>Longitud de frente/gancho (mm)</w:t>
                  </w:r>
                </w:p>
              </w:tc>
              <w:tc>
                <w:tcPr>
                  <w:tcW w:w="2142" w:type="dxa"/>
                  <w:tcBorders>
                    <w:top w:val="single" w:sz="4" w:space="0" w:color="auto"/>
                    <w:left w:val="single" w:sz="4" w:space="0" w:color="auto"/>
                    <w:bottom w:val="single" w:sz="4" w:space="0" w:color="auto"/>
                    <w:right w:val="single" w:sz="4" w:space="0" w:color="auto"/>
                  </w:tcBorders>
                </w:tcPr>
                <w:p w14:paraId="40CEDDA4" w14:textId="77777777" w:rsidR="003B79C3" w:rsidRPr="00062211" w:rsidRDefault="003B79C3" w:rsidP="003B79C3">
                  <w:pPr>
                    <w:jc w:val="center"/>
                    <w:rPr>
                      <w:rFonts w:cs="Times New Roman"/>
                      <w:sz w:val="20"/>
                      <w:lang w:eastAsia="en-US"/>
                    </w:rPr>
                  </w:pPr>
                  <w:r w:rsidRPr="00062211">
                    <w:rPr>
                      <w:rFonts w:cs="Times New Roman"/>
                      <w:sz w:val="20"/>
                      <w:lang w:eastAsia="en-US"/>
                    </w:rPr>
                    <w:t>35</w:t>
                  </w:r>
                </w:p>
              </w:tc>
            </w:tr>
          </w:tbl>
          <w:p w14:paraId="49820A6E" w14:textId="7FCA6FAC" w:rsidR="00B357EA" w:rsidRPr="00840690" w:rsidRDefault="00B357EA" w:rsidP="00C334F9">
            <w:pPr>
              <w:widowControl w:val="0"/>
              <w:rPr>
                <w:rFonts w:cs="Times New Roman"/>
                <w:b/>
              </w:rPr>
            </w:pPr>
          </w:p>
        </w:tc>
      </w:tr>
    </w:tbl>
    <w:p w14:paraId="3231A7CA" w14:textId="77777777" w:rsidR="00B357EA" w:rsidRPr="00B357EA" w:rsidRDefault="00B357EA" w:rsidP="00E328D4">
      <w:pPr>
        <w:pStyle w:val="subparagraph"/>
        <w:rPr>
          <w:rFonts w:cs="Times New Roman"/>
        </w:rPr>
      </w:pPr>
    </w:p>
    <w:p w14:paraId="15D6882F" w14:textId="29D95361" w:rsidR="00A12413" w:rsidRDefault="00A12413" w:rsidP="004B1038">
      <w:pPr>
        <w:shd w:val="clear" w:color="auto" w:fill="FFFFFF"/>
        <w:jc w:val="center"/>
        <w:rPr>
          <w:rFonts w:ascii="Verdana" w:hAnsi="Verdana" w:cs="Times New Roman"/>
          <w:color w:val="222222"/>
          <w:sz w:val="17"/>
          <w:szCs w:val="17"/>
          <w:lang w:val="es-ES" w:eastAsia="es-ES"/>
        </w:rPr>
      </w:pPr>
      <w:r w:rsidRPr="00001DF3">
        <w:rPr>
          <w:bCs/>
          <w:noProof/>
          <w:sz w:val="22"/>
          <w:szCs w:val="22"/>
          <w:u w:val="single"/>
          <w:bdr w:val="single" w:sz="4" w:space="0" w:color="auto"/>
          <w:lang w:val="es-UY" w:eastAsia="es-UY"/>
        </w:rPr>
        <w:lastRenderedPageBreak/>
        <w:drawing>
          <wp:inline distT="0" distB="0" distL="0" distR="0" wp14:anchorId="1272594E" wp14:editId="267D16EF">
            <wp:extent cx="5594329" cy="6647164"/>
            <wp:effectExtent l="0" t="0" r="698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6159" cy="6661221"/>
                    </a:xfrm>
                    <a:prstGeom prst="rect">
                      <a:avLst/>
                    </a:prstGeom>
                    <a:noFill/>
                  </pic:spPr>
                </pic:pic>
              </a:graphicData>
            </a:graphic>
          </wp:inline>
        </w:drawing>
      </w:r>
    </w:p>
    <w:p w14:paraId="3AF228BD" w14:textId="77777777" w:rsidR="00001DF3" w:rsidRDefault="00001DF3" w:rsidP="00001DF3">
      <w:pPr>
        <w:shd w:val="clear" w:color="auto" w:fill="FFFFFF"/>
        <w:rPr>
          <w:rFonts w:ascii="Verdana" w:hAnsi="Verdana" w:cs="Times New Roman"/>
          <w:color w:val="222222"/>
          <w:sz w:val="17"/>
          <w:szCs w:val="17"/>
          <w:lang w:val="es-ES" w:eastAsia="es-ES"/>
        </w:rPr>
      </w:pPr>
    </w:p>
    <w:p w14:paraId="732D7E01" w14:textId="77777777" w:rsidR="00A3197A" w:rsidRDefault="00A3197A" w:rsidP="00001DF3">
      <w:pPr>
        <w:shd w:val="clear" w:color="auto" w:fill="FFFFFF"/>
        <w:rPr>
          <w:rFonts w:ascii="Verdana" w:hAnsi="Verdana" w:cs="Times New Roman"/>
          <w:color w:val="222222"/>
          <w:sz w:val="17"/>
          <w:szCs w:val="17"/>
          <w:lang w:val="es-ES" w:eastAsia="es-ES"/>
        </w:rPr>
      </w:pPr>
    </w:p>
    <w:p w14:paraId="4A4D501B" w14:textId="77777777" w:rsidR="00D023E1" w:rsidRDefault="00D023E1" w:rsidP="00001DF3">
      <w:pPr>
        <w:shd w:val="clear" w:color="auto" w:fill="FFFFFF"/>
        <w:rPr>
          <w:rFonts w:ascii="Verdana" w:hAnsi="Verdana" w:cs="Times New Roman"/>
          <w:color w:val="222222"/>
          <w:sz w:val="17"/>
          <w:szCs w:val="17"/>
          <w:lang w:val="es-ES" w:eastAsia="es-ES"/>
        </w:rPr>
      </w:pPr>
    </w:p>
    <w:p w14:paraId="7B6939A3" w14:textId="77777777" w:rsidR="00001DF3" w:rsidRPr="00001DF3" w:rsidRDefault="00001DF3" w:rsidP="00001DF3">
      <w:pPr>
        <w:shd w:val="clear" w:color="auto" w:fill="FFFFFF"/>
        <w:rPr>
          <w:rFonts w:ascii="Verdana" w:hAnsi="Verdana" w:cs="Times New Roman"/>
          <w:color w:val="222222"/>
          <w:sz w:val="17"/>
          <w:szCs w:val="17"/>
          <w:lang w:val="es-ES" w:eastAsia="es-ES"/>
        </w:rPr>
      </w:pPr>
    </w:p>
    <w:p w14:paraId="45D4126C" w14:textId="3E396D91" w:rsidR="00E328D4" w:rsidRDefault="00E328D4" w:rsidP="00001DF3">
      <w:pPr>
        <w:pStyle w:val="subparagraph"/>
        <w:ind w:left="567"/>
      </w:pPr>
      <w:r>
        <w:t>(c)</w:t>
      </w:r>
      <w:r>
        <w:tab/>
        <w:t>B</w:t>
      </w:r>
      <w:r w:rsidRPr="006A4C70">
        <w:t>iological information on the target species from comprehensive research/survey cruises, such as distribution, abundance, demographic data and information on stock identity</w:t>
      </w:r>
      <w:r>
        <w:t>:</w:t>
      </w:r>
    </w:p>
    <w:p w14:paraId="43769746" w14:textId="77777777" w:rsidR="00E7480A" w:rsidRPr="00635CC7" w:rsidRDefault="00E7480A" w:rsidP="00E7480A">
      <w:pPr>
        <w:rPr>
          <w:sz w:val="22"/>
          <w:szCs w:val="22"/>
          <w:lang w:val="es-UY"/>
        </w:rPr>
      </w:pPr>
      <w:r w:rsidRPr="00635CC7">
        <w:rPr>
          <w:sz w:val="22"/>
          <w:szCs w:val="22"/>
          <w:lang w:val="es-UY"/>
        </w:rPr>
        <w:t>(c) Información biológica sobre las especies objetivo obtenida de campañas de investigación/prospección exhaustivas, como distribución, abundancia, datos demográficos e información sobre la identificación de las poblaciones:</w:t>
      </w:r>
    </w:p>
    <w:p w14:paraId="634479B1" w14:textId="77777777" w:rsidR="00E7480A" w:rsidRPr="00635CC7" w:rsidRDefault="00E7480A" w:rsidP="00E7480A">
      <w:pPr>
        <w:rPr>
          <w:sz w:val="22"/>
          <w:szCs w:val="22"/>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E328D4" w:rsidRPr="00635CC7" w14:paraId="19789227" w14:textId="77777777" w:rsidTr="005040E7">
        <w:trPr>
          <w:trHeight w:val="1245"/>
        </w:trPr>
        <w:tc>
          <w:tcPr>
            <w:tcW w:w="8920" w:type="dxa"/>
          </w:tcPr>
          <w:p w14:paraId="18D9A3A0" w14:textId="58F662FB" w:rsidR="00183278" w:rsidRPr="00183278" w:rsidRDefault="00183278" w:rsidP="0034326C">
            <w:pPr>
              <w:pStyle w:val="subparagraph"/>
              <w:ind w:left="0" w:firstLine="0"/>
              <w:jc w:val="both"/>
              <w:rPr>
                <w:szCs w:val="22"/>
                <w:lang w:val="es-ES"/>
              </w:rPr>
            </w:pPr>
            <w:r w:rsidRPr="00183278">
              <w:rPr>
                <w:szCs w:val="22"/>
                <w:lang w:val="es-ES"/>
              </w:rPr>
              <w:lastRenderedPageBreak/>
              <w:t xml:space="preserve">Los barcos palangreros uruguayos han participado regular y activamente en la pesquería de palangre de </w:t>
            </w:r>
            <w:r w:rsidRPr="00183278">
              <w:rPr>
                <w:i/>
                <w:szCs w:val="22"/>
                <w:lang w:val="es-ES"/>
              </w:rPr>
              <w:t>Dissostichus spp</w:t>
            </w:r>
            <w:r w:rsidRPr="00183278">
              <w:rPr>
                <w:szCs w:val="22"/>
                <w:lang w:val="es-ES"/>
              </w:rPr>
              <w:t>. que se desarrolla en el área de la Convención hace más de 2</w:t>
            </w:r>
            <w:r w:rsidR="00374BD4">
              <w:rPr>
                <w:szCs w:val="22"/>
                <w:lang w:val="es-ES"/>
              </w:rPr>
              <w:t>5</w:t>
            </w:r>
            <w:r w:rsidRPr="00183278">
              <w:rPr>
                <w:szCs w:val="22"/>
                <w:lang w:val="es-ES"/>
              </w:rPr>
              <w:t xml:space="preserve"> años, ajustándose estrictamente a las disposiciones contenidas a las medidas de conservación adoptadas por la CCRVMA y que se han aplicado a la pesquería.</w:t>
            </w:r>
          </w:p>
          <w:p w14:paraId="7066E712" w14:textId="77777777" w:rsidR="00183278" w:rsidRPr="00183278" w:rsidRDefault="00183278" w:rsidP="0034326C">
            <w:pPr>
              <w:pStyle w:val="subparagraph"/>
              <w:ind w:left="0" w:firstLine="0"/>
              <w:jc w:val="both"/>
              <w:rPr>
                <w:szCs w:val="22"/>
                <w:lang w:val="es-ES"/>
              </w:rPr>
            </w:pPr>
            <w:r w:rsidRPr="00183278">
              <w:rPr>
                <w:szCs w:val="22"/>
                <w:lang w:val="es-ES"/>
              </w:rPr>
              <w:t>Uruguay inició sus actividades en Mar de Ross, en la subárea 88.1, en la temporada 2000/01 (barco palangrero BP ‘Isla Gorriti’). Los datos recolectados por los observadores científicos embarcados en dichos barcos, han sido históricamente informados y puestos a la disposición de la CCRVMA y se han analizado en el transcurso de diferentes reuniones del Grupo de Trabajo de Evaluación de los Recursos de Peces (WG-FSA, WG-SAM), contribuyendo a mejorar el conocimiento de los recursos y a elaborar las recomendaciones de gestión de la pesquería que son elevadas a la consideración del Comité Científico para su asesoramiento científico a la Comisión.</w:t>
            </w:r>
          </w:p>
          <w:p w14:paraId="36BB955A" w14:textId="5CA4AAA3" w:rsidR="00183278" w:rsidRPr="00183278" w:rsidRDefault="0034326C" w:rsidP="0034326C">
            <w:pPr>
              <w:jc w:val="both"/>
              <w:rPr>
                <w:sz w:val="22"/>
                <w:szCs w:val="22"/>
                <w:lang w:val="es-ES"/>
              </w:rPr>
            </w:pPr>
            <w:r>
              <w:rPr>
                <w:sz w:val="22"/>
                <w:szCs w:val="22"/>
                <w:lang w:val="es-ES"/>
              </w:rPr>
              <w:t>E</w:t>
            </w:r>
            <w:r w:rsidR="00183278" w:rsidRPr="00183278">
              <w:rPr>
                <w:sz w:val="22"/>
                <w:szCs w:val="22"/>
                <w:lang w:val="es-ES"/>
              </w:rPr>
              <w:t xml:space="preserve">studios </w:t>
            </w:r>
            <w:r>
              <w:rPr>
                <w:sz w:val="22"/>
                <w:szCs w:val="22"/>
                <w:lang w:val="es-ES"/>
              </w:rPr>
              <w:t xml:space="preserve">previos </w:t>
            </w:r>
            <w:r w:rsidR="00183278" w:rsidRPr="00183278">
              <w:rPr>
                <w:sz w:val="22"/>
                <w:szCs w:val="22"/>
                <w:lang w:val="es-ES"/>
              </w:rPr>
              <w:t xml:space="preserve">realizados en las </w:t>
            </w:r>
            <w:r>
              <w:rPr>
                <w:sz w:val="22"/>
                <w:szCs w:val="22"/>
                <w:lang w:val="es-ES"/>
              </w:rPr>
              <w:t>sub</w:t>
            </w:r>
            <w:r w:rsidR="00183278" w:rsidRPr="00183278">
              <w:rPr>
                <w:sz w:val="22"/>
                <w:szCs w:val="22"/>
                <w:lang w:val="es-ES"/>
              </w:rPr>
              <w:t xml:space="preserve">áreas </w:t>
            </w:r>
            <w:r>
              <w:rPr>
                <w:sz w:val="22"/>
                <w:szCs w:val="22"/>
                <w:lang w:val="es-ES"/>
              </w:rPr>
              <w:t>8</w:t>
            </w:r>
            <w:r w:rsidR="00183278" w:rsidRPr="00183278">
              <w:rPr>
                <w:sz w:val="22"/>
                <w:szCs w:val="22"/>
                <w:lang w:val="es-ES"/>
              </w:rPr>
              <w:t xml:space="preserve">8.1 y 88.2; han demostrado </w:t>
            </w:r>
            <w:r>
              <w:rPr>
                <w:sz w:val="22"/>
                <w:szCs w:val="22"/>
                <w:lang w:val="es-ES"/>
              </w:rPr>
              <w:t xml:space="preserve">una </w:t>
            </w:r>
            <w:r w:rsidR="00183278" w:rsidRPr="00183278">
              <w:rPr>
                <w:sz w:val="22"/>
                <w:szCs w:val="22"/>
                <w:lang w:val="es-ES"/>
              </w:rPr>
              <w:t>baja o casi inexistente variación genética entre áreas</w:t>
            </w:r>
            <w:r>
              <w:rPr>
                <w:sz w:val="22"/>
                <w:szCs w:val="22"/>
                <w:lang w:val="es-ES"/>
              </w:rPr>
              <w:t xml:space="preserve"> geográficas</w:t>
            </w:r>
            <w:r w:rsidR="00183278" w:rsidRPr="00183278">
              <w:rPr>
                <w:sz w:val="22"/>
                <w:szCs w:val="22"/>
                <w:lang w:val="es-ES"/>
              </w:rPr>
              <w:t xml:space="preserve">. Se ha recomendado que el Mar de Ross sea </w:t>
            </w:r>
            <w:r w:rsidR="002A6AB4" w:rsidRPr="00183278">
              <w:rPr>
                <w:sz w:val="22"/>
                <w:szCs w:val="22"/>
                <w:lang w:val="es-ES"/>
              </w:rPr>
              <w:t>considerado</w:t>
            </w:r>
            <w:r w:rsidR="002A6AB4">
              <w:rPr>
                <w:sz w:val="22"/>
                <w:szCs w:val="22"/>
                <w:lang w:val="es-ES"/>
              </w:rPr>
              <w:t xml:space="preserve">, </w:t>
            </w:r>
            <w:r w:rsidR="002A6AB4" w:rsidRPr="00183278">
              <w:rPr>
                <w:sz w:val="22"/>
                <w:szCs w:val="22"/>
                <w:lang w:val="es-ES"/>
              </w:rPr>
              <w:t>para</w:t>
            </w:r>
            <w:r w:rsidR="00183278" w:rsidRPr="00183278">
              <w:rPr>
                <w:sz w:val="22"/>
                <w:szCs w:val="22"/>
                <w:lang w:val="es-ES"/>
              </w:rPr>
              <w:t xml:space="preserve"> la especie </w:t>
            </w:r>
            <w:r w:rsidR="00183278" w:rsidRPr="00183278">
              <w:rPr>
                <w:i/>
                <w:sz w:val="22"/>
                <w:szCs w:val="22"/>
                <w:lang w:val="es-ES"/>
              </w:rPr>
              <w:t>Dissostichus mawsoni</w:t>
            </w:r>
            <w:r w:rsidR="002A6AB4">
              <w:rPr>
                <w:i/>
                <w:sz w:val="22"/>
                <w:szCs w:val="22"/>
                <w:lang w:val="es-ES"/>
              </w:rPr>
              <w:t>,</w:t>
            </w:r>
            <w:r w:rsidR="00183278" w:rsidRPr="00183278">
              <w:rPr>
                <w:i/>
                <w:sz w:val="22"/>
                <w:szCs w:val="22"/>
                <w:lang w:val="es-ES"/>
              </w:rPr>
              <w:t xml:space="preserve"> </w:t>
            </w:r>
            <w:r w:rsidR="00183278" w:rsidRPr="00183278">
              <w:rPr>
                <w:sz w:val="22"/>
                <w:szCs w:val="22"/>
                <w:lang w:val="es-ES"/>
              </w:rPr>
              <w:t xml:space="preserve">como un área diferenciada con un stock más o menos genéticamente aislado. En esta región la dinámica oceánica pudiera actuar reteniendo juveniles y adultos. </w:t>
            </w:r>
            <w:r w:rsidR="002A6AB4">
              <w:rPr>
                <w:sz w:val="22"/>
                <w:szCs w:val="22"/>
                <w:lang w:val="es-ES"/>
              </w:rPr>
              <w:t>Durante los últimos años l</w:t>
            </w:r>
            <w:r w:rsidR="00183278" w:rsidRPr="00183278">
              <w:rPr>
                <w:sz w:val="22"/>
                <w:szCs w:val="22"/>
                <w:lang w:val="es-ES"/>
              </w:rPr>
              <w:t xml:space="preserve">a distribución del tamaño de </w:t>
            </w:r>
            <w:r w:rsidR="00183278" w:rsidRPr="00183278">
              <w:rPr>
                <w:i/>
                <w:sz w:val="22"/>
                <w:szCs w:val="22"/>
                <w:lang w:val="es-ES"/>
              </w:rPr>
              <w:t>Dissostichus mawsoni</w:t>
            </w:r>
            <w:r w:rsidR="00183278" w:rsidRPr="00183278">
              <w:rPr>
                <w:sz w:val="22"/>
                <w:szCs w:val="22"/>
                <w:lang w:val="es-ES"/>
              </w:rPr>
              <w:t xml:space="preserve"> varió de 50 a 180 cm, con un modo amplio de peces adultos de alrededor de 120 a 170 cm presente en todas las estaciones. También ha habido un modo de peces más pequeños (80 a 100 cm) en la mayoría de los años que se capturan en la plataforma del Mar de Ross.</w:t>
            </w:r>
          </w:p>
          <w:p w14:paraId="555D6241" w14:textId="77777777" w:rsidR="00183278" w:rsidRPr="00183278" w:rsidRDefault="00183278" w:rsidP="0034326C">
            <w:pPr>
              <w:jc w:val="both"/>
              <w:rPr>
                <w:sz w:val="22"/>
                <w:szCs w:val="22"/>
                <w:lang w:val="es-ES"/>
              </w:rPr>
            </w:pPr>
          </w:p>
          <w:p w14:paraId="6391137D" w14:textId="608E94D5" w:rsidR="00183278" w:rsidRDefault="00183278" w:rsidP="00183278">
            <w:pPr>
              <w:jc w:val="both"/>
              <w:rPr>
                <w:sz w:val="22"/>
                <w:szCs w:val="22"/>
                <w:lang w:val="es-ES"/>
              </w:rPr>
            </w:pPr>
            <w:r w:rsidRPr="00183278">
              <w:rPr>
                <w:sz w:val="22"/>
                <w:szCs w:val="22"/>
                <w:lang w:val="es-ES"/>
              </w:rPr>
              <w:t>Considerando los datos correspondientes a la última participación de las unidades uruguayas en la Subárea 88.1 en el año 20</w:t>
            </w:r>
            <w:r w:rsidR="002A6AB4">
              <w:rPr>
                <w:sz w:val="22"/>
                <w:szCs w:val="22"/>
                <w:lang w:val="es-ES"/>
              </w:rPr>
              <w:t>24</w:t>
            </w:r>
            <w:r w:rsidRPr="00183278">
              <w:rPr>
                <w:sz w:val="22"/>
                <w:szCs w:val="22"/>
                <w:lang w:val="es-ES"/>
              </w:rPr>
              <w:t xml:space="preserve">, los datos de frecuencia de talla de </w:t>
            </w:r>
            <w:r w:rsidRPr="00183278">
              <w:rPr>
                <w:i/>
                <w:sz w:val="22"/>
                <w:szCs w:val="22"/>
                <w:lang w:val="es-ES"/>
              </w:rPr>
              <w:t>Dissostichus mawsoni</w:t>
            </w:r>
            <w:r w:rsidRPr="00183278">
              <w:rPr>
                <w:sz w:val="22"/>
                <w:szCs w:val="22"/>
                <w:lang w:val="es-ES"/>
              </w:rPr>
              <w:t xml:space="preserve"> en las UIPE muestran distribuciones de frecuencia que fueron consistentes durante la mayoría de los años, aunque escasos en algunos. Las longitudes oscilan entre 51 a 165 cm, con una longitud modal de aproximadamente 102 cm; donde las hembras superan a los machos en un factor de 3:1. La especie </w:t>
            </w:r>
            <w:r w:rsidRPr="00183278">
              <w:rPr>
                <w:i/>
                <w:sz w:val="22"/>
                <w:szCs w:val="22"/>
                <w:lang w:val="es-ES"/>
              </w:rPr>
              <w:t>Dissostichus mawsoni</w:t>
            </w:r>
            <w:r w:rsidRPr="00183278">
              <w:rPr>
                <w:sz w:val="22"/>
                <w:szCs w:val="22"/>
                <w:lang w:val="es-ES"/>
              </w:rPr>
              <w:t xml:space="preserve"> en la Subárea 88.1 se encuentra en el extremo de su área de distribución y solo aparece en cantidades significativas en la zona NW de la región.</w:t>
            </w:r>
          </w:p>
          <w:p w14:paraId="23E04090" w14:textId="77777777" w:rsidR="002A6AB4" w:rsidRPr="00183278" w:rsidRDefault="002A6AB4" w:rsidP="00183278">
            <w:pPr>
              <w:jc w:val="both"/>
              <w:rPr>
                <w:sz w:val="22"/>
                <w:szCs w:val="22"/>
                <w:lang w:val="es-ES"/>
              </w:rPr>
            </w:pPr>
          </w:p>
          <w:p w14:paraId="4FA59FC4" w14:textId="7559FFD3" w:rsidR="00183278" w:rsidRPr="00183278" w:rsidRDefault="00183278" w:rsidP="00183278">
            <w:pPr>
              <w:jc w:val="both"/>
              <w:rPr>
                <w:sz w:val="22"/>
                <w:szCs w:val="22"/>
                <w:lang w:val="es-ES"/>
              </w:rPr>
            </w:pPr>
            <w:r w:rsidRPr="00183278">
              <w:rPr>
                <w:sz w:val="22"/>
                <w:szCs w:val="22"/>
                <w:lang w:val="es-ES"/>
              </w:rPr>
              <w:t>Asimismo, considerando los datos correspondientes a la última participación de las unidades uruguayas en la Subárea 88.2 en el año 20</w:t>
            </w:r>
            <w:r w:rsidR="002A6AB4">
              <w:rPr>
                <w:sz w:val="22"/>
                <w:szCs w:val="22"/>
                <w:lang w:val="es-ES"/>
              </w:rPr>
              <w:t>24</w:t>
            </w:r>
            <w:r w:rsidRPr="00183278">
              <w:rPr>
                <w:sz w:val="22"/>
                <w:szCs w:val="22"/>
                <w:lang w:val="es-ES"/>
              </w:rPr>
              <w:t xml:space="preserve">, los datos de frecuencia de talla de </w:t>
            </w:r>
            <w:r w:rsidRPr="00183278">
              <w:rPr>
                <w:i/>
                <w:iCs/>
                <w:sz w:val="22"/>
                <w:szCs w:val="22"/>
                <w:lang w:val="es-ES"/>
              </w:rPr>
              <w:t xml:space="preserve">Dissostichus mawsoni </w:t>
            </w:r>
            <w:r w:rsidRPr="00183278">
              <w:rPr>
                <w:sz w:val="22"/>
                <w:szCs w:val="22"/>
                <w:lang w:val="es-ES"/>
              </w:rPr>
              <w:t>en</w:t>
            </w:r>
            <w:r w:rsidRPr="00183278">
              <w:rPr>
                <w:i/>
                <w:iCs/>
                <w:sz w:val="22"/>
                <w:szCs w:val="22"/>
                <w:lang w:val="es-ES"/>
              </w:rPr>
              <w:t xml:space="preserve"> </w:t>
            </w:r>
            <w:r w:rsidRPr="00183278">
              <w:rPr>
                <w:sz w:val="22"/>
                <w:szCs w:val="22"/>
                <w:lang w:val="es-ES"/>
              </w:rPr>
              <w:t>las UIPE muestran distribuciones de frecuencia que también fueron consistentes. Las longitudes oscilan entre 5</w:t>
            </w:r>
            <w:r w:rsidR="002A6AB4">
              <w:rPr>
                <w:sz w:val="22"/>
                <w:szCs w:val="22"/>
                <w:lang w:val="es-ES"/>
              </w:rPr>
              <w:t>5</w:t>
            </w:r>
            <w:r w:rsidRPr="00183278">
              <w:rPr>
                <w:sz w:val="22"/>
                <w:szCs w:val="22"/>
                <w:lang w:val="es-ES"/>
              </w:rPr>
              <w:t xml:space="preserve"> a 16</w:t>
            </w:r>
            <w:r w:rsidR="002A6AB4">
              <w:rPr>
                <w:sz w:val="22"/>
                <w:szCs w:val="22"/>
                <w:lang w:val="es-ES"/>
              </w:rPr>
              <w:t>7</w:t>
            </w:r>
            <w:r w:rsidRPr="00183278">
              <w:rPr>
                <w:sz w:val="22"/>
                <w:szCs w:val="22"/>
                <w:lang w:val="es-ES"/>
              </w:rPr>
              <w:t xml:space="preserve"> cm, con una longitud modal de aproximadamente 10</w:t>
            </w:r>
            <w:r w:rsidR="002A6AB4">
              <w:rPr>
                <w:sz w:val="22"/>
                <w:szCs w:val="22"/>
                <w:lang w:val="es-ES"/>
              </w:rPr>
              <w:t>2</w:t>
            </w:r>
            <w:r w:rsidRPr="00183278">
              <w:rPr>
                <w:sz w:val="22"/>
                <w:szCs w:val="22"/>
                <w:lang w:val="es-ES"/>
              </w:rPr>
              <w:t xml:space="preserve"> cm; donde las hembras </w:t>
            </w:r>
            <w:r w:rsidR="00150B22">
              <w:rPr>
                <w:sz w:val="22"/>
                <w:szCs w:val="22"/>
                <w:lang w:val="es-ES"/>
              </w:rPr>
              <w:t xml:space="preserve">continúan </w:t>
            </w:r>
            <w:r w:rsidRPr="00183278">
              <w:rPr>
                <w:sz w:val="22"/>
                <w:szCs w:val="22"/>
                <w:lang w:val="es-ES"/>
              </w:rPr>
              <w:t>superan</w:t>
            </w:r>
            <w:r w:rsidR="00150B22">
              <w:rPr>
                <w:sz w:val="22"/>
                <w:szCs w:val="22"/>
                <w:lang w:val="es-ES"/>
              </w:rPr>
              <w:t>do</w:t>
            </w:r>
            <w:r w:rsidRPr="00183278">
              <w:rPr>
                <w:sz w:val="22"/>
                <w:szCs w:val="22"/>
                <w:lang w:val="es-ES"/>
              </w:rPr>
              <w:t xml:space="preserve"> a los machos en un factor de 3:1.</w:t>
            </w:r>
          </w:p>
          <w:p w14:paraId="1FEEF7A0" w14:textId="77777777" w:rsidR="00183278" w:rsidRPr="00183278" w:rsidRDefault="00183278" w:rsidP="00183278">
            <w:pPr>
              <w:jc w:val="both"/>
              <w:rPr>
                <w:sz w:val="22"/>
                <w:szCs w:val="22"/>
                <w:lang w:val="es-ES"/>
              </w:rPr>
            </w:pPr>
          </w:p>
          <w:p w14:paraId="318728F6" w14:textId="7391EEB0" w:rsidR="00183278" w:rsidRPr="00183278" w:rsidRDefault="00150B22" w:rsidP="00183278">
            <w:pPr>
              <w:jc w:val="both"/>
              <w:rPr>
                <w:sz w:val="22"/>
                <w:szCs w:val="22"/>
                <w:lang w:val="es-ES"/>
              </w:rPr>
            </w:pPr>
            <w:r>
              <w:rPr>
                <w:sz w:val="22"/>
                <w:szCs w:val="22"/>
                <w:lang w:val="es-ES"/>
              </w:rPr>
              <w:t xml:space="preserve">Los objetivos de la encuesta de 2020 </w:t>
            </w:r>
            <w:r w:rsidR="00183278" w:rsidRPr="00183278">
              <w:rPr>
                <w:sz w:val="22"/>
                <w:szCs w:val="22"/>
                <w:lang w:val="es-ES"/>
              </w:rPr>
              <w:t>son: (i) continuar monitoreando la abundancia y estructura de edad de la austromerluza subadulta en el sur de las UIPE 881J y 881L en el sur del Mar de Ross utilizando artes estandarizados en un enfoque estandarizado, (</w:t>
            </w:r>
            <w:proofErr w:type="spellStart"/>
            <w:r w:rsidR="00183278" w:rsidRPr="00183278">
              <w:rPr>
                <w:sz w:val="22"/>
                <w:szCs w:val="22"/>
                <w:lang w:val="es-ES"/>
              </w:rPr>
              <w:t>ii</w:t>
            </w:r>
            <w:proofErr w:type="spellEnd"/>
            <w:r w:rsidR="00183278" w:rsidRPr="00183278">
              <w:rPr>
                <w:sz w:val="22"/>
                <w:szCs w:val="22"/>
                <w:lang w:val="es-ES"/>
              </w:rPr>
              <w:t>) continuar el seguimiento de las tendencias de la austromerluza adulta y subadultos grandes en dos zonas situadas en la UIPE 881M que son de importancia para los depredadores de austromerluza mamíferos, y (</w:t>
            </w:r>
            <w:proofErr w:type="spellStart"/>
            <w:r w:rsidR="00183278" w:rsidRPr="00183278">
              <w:rPr>
                <w:sz w:val="22"/>
                <w:szCs w:val="22"/>
                <w:lang w:val="es-ES"/>
              </w:rPr>
              <w:t>iii</w:t>
            </w:r>
            <w:proofErr w:type="spellEnd"/>
            <w:r w:rsidR="00183278" w:rsidRPr="00183278">
              <w:rPr>
                <w:sz w:val="22"/>
                <w:szCs w:val="22"/>
                <w:lang w:val="es-ES"/>
              </w:rPr>
              <w:t>) recolectar y analizar una amplia gama de datos y muestras de estas áreas (por ejemplo, peces demersales, invertebrados bentónicos, muestras de estómago y tejido, datos acústicos, etc.), lo que contribuirá al RMP para el RSRMPA.</w:t>
            </w:r>
          </w:p>
          <w:p w14:paraId="293B43DA" w14:textId="77777777" w:rsidR="00183278" w:rsidRPr="00183278" w:rsidRDefault="00183278" w:rsidP="00183278">
            <w:pPr>
              <w:jc w:val="both"/>
              <w:rPr>
                <w:sz w:val="22"/>
                <w:szCs w:val="22"/>
                <w:lang w:val="es-ES"/>
              </w:rPr>
            </w:pPr>
          </w:p>
          <w:p w14:paraId="61A6DDE8" w14:textId="6B2251FF" w:rsidR="00183278" w:rsidRPr="00183278" w:rsidRDefault="00183278" w:rsidP="00183278">
            <w:pPr>
              <w:jc w:val="both"/>
              <w:rPr>
                <w:sz w:val="22"/>
                <w:szCs w:val="22"/>
                <w:lang w:val="es-ES"/>
              </w:rPr>
            </w:pPr>
            <w:r w:rsidRPr="00183278">
              <w:rPr>
                <w:sz w:val="22"/>
                <w:szCs w:val="22"/>
                <w:lang w:val="es-ES"/>
              </w:rPr>
              <w:t xml:space="preserve">El grupo de trabajo </w:t>
            </w:r>
            <w:r w:rsidR="00150B22">
              <w:rPr>
                <w:sz w:val="22"/>
                <w:szCs w:val="22"/>
                <w:lang w:val="es-ES"/>
              </w:rPr>
              <w:t>WG-FSA 2022 y posteriores recomendó</w:t>
            </w:r>
            <w:r w:rsidRPr="00183278">
              <w:rPr>
                <w:sz w:val="22"/>
                <w:szCs w:val="22"/>
                <w:lang w:val="es-ES"/>
              </w:rPr>
              <w:t xml:space="preserve"> la MC 21-02, párrafo 6 (</w:t>
            </w:r>
            <w:proofErr w:type="spellStart"/>
            <w:r w:rsidRPr="00183278">
              <w:rPr>
                <w:sz w:val="22"/>
                <w:szCs w:val="22"/>
                <w:lang w:val="es-ES"/>
              </w:rPr>
              <w:t>iii</w:t>
            </w:r>
            <w:proofErr w:type="spellEnd"/>
            <w:r w:rsidRPr="00183278">
              <w:rPr>
                <w:sz w:val="22"/>
                <w:szCs w:val="22"/>
                <w:lang w:val="es-ES"/>
              </w:rPr>
              <w:t xml:space="preserve">) (notificaciones para participar en pesquerías exploratorias de </w:t>
            </w:r>
            <w:r w:rsidRPr="00183278">
              <w:rPr>
                <w:i/>
                <w:iCs/>
                <w:sz w:val="22"/>
                <w:szCs w:val="22"/>
                <w:lang w:val="es-ES"/>
              </w:rPr>
              <w:t>Dissostichus spp</w:t>
            </w:r>
            <w:r w:rsidRPr="00183278">
              <w:rPr>
                <w:sz w:val="22"/>
                <w:szCs w:val="22"/>
                <w:lang w:val="es-ES"/>
              </w:rPr>
              <w:t>.), que se incluyeran aquí las áreas cubiertas por las UIPE 882C-H para notificaciones futuras.</w:t>
            </w:r>
          </w:p>
          <w:p w14:paraId="599BF3B5" w14:textId="77777777" w:rsidR="00183278" w:rsidRPr="00183278" w:rsidRDefault="00183278" w:rsidP="00183278">
            <w:pPr>
              <w:jc w:val="both"/>
              <w:rPr>
                <w:sz w:val="22"/>
                <w:szCs w:val="22"/>
                <w:lang w:val="es-ES"/>
              </w:rPr>
            </w:pPr>
          </w:p>
          <w:p w14:paraId="343564D9" w14:textId="459DB139" w:rsidR="00183278" w:rsidRDefault="00183278" w:rsidP="00183278">
            <w:pPr>
              <w:jc w:val="both"/>
              <w:rPr>
                <w:sz w:val="22"/>
                <w:szCs w:val="22"/>
                <w:lang w:val="es-ES"/>
              </w:rPr>
            </w:pPr>
            <w:r w:rsidRPr="00183278">
              <w:rPr>
                <w:sz w:val="22"/>
                <w:szCs w:val="22"/>
                <w:lang w:val="es-ES"/>
              </w:rPr>
              <w:t>Para el Área 88.2, recordamos que el Comité Científico consideró las discusiones referidas en el informe de SC-CAMLR</w:t>
            </w:r>
            <w:r w:rsidR="00150B22">
              <w:rPr>
                <w:sz w:val="22"/>
                <w:szCs w:val="22"/>
                <w:lang w:val="es-ES"/>
              </w:rPr>
              <w:t xml:space="preserve"> </w:t>
            </w:r>
            <w:r w:rsidRPr="00183278">
              <w:rPr>
                <w:sz w:val="22"/>
                <w:szCs w:val="22"/>
                <w:lang w:val="es-ES"/>
              </w:rPr>
              <w:t>38</w:t>
            </w:r>
            <w:r w:rsidR="00150B22">
              <w:rPr>
                <w:sz w:val="22"/>
                <w:szCs w:val="22"/>
                <w:lang w:val="es-ES"/>
              </w:rPr>
              <w:t xml:space="preserve"> y posteriores</w:t>
            </w:r>
            <w:r w:rsidRPr="00183278">
              <w:rPr>
                <w:sz w:val="22"/>
                <w:szCs w:val="22"/>
                <w:lang w:val="es-ES"/>
              </w:rPr>
              <w:t>, solicit</w:t>
            </w:r>
            <w:r w:rsidR="00150B22">
              <w:rPr>
                <w:sz w:val="22"/>
                <w:szCs w:val="22"/>
                <w:lang w:val="es-ES"/>
              </w:rPr>
              <w:t>ando</w:t>
            </w:r>
            <w:r w:rsidRPr="00183278">
              <w:rPr>
                <w:sz w:val="22"/>
                <w:szCs w:val="22"/>
                <w:lang w:val="es-ES"/>
              </w:rPr>
              <w:t xml:space="preserve"> a la Comisión que considere las opciones diferentes dado que no se alcanzó un consenso sobre la asignación de captura para la prospección. </w:t>
            </w:r>
          </w:p>
          <w:p w14:paraId="0CE63FEE" w14:textId="77777777" w:rsidR="00150B22" w:rsidRPr="00183278" w:rsidRDefault="00150B22" w:rsidP="00183278">
            <w:pPr>
              <w:jc w:val="both"/>
              <w:rPr>
                <w:sz w:val="22"/>
                <w:szCs w:val="22"/>
                <w:lang w:val="es-ES"/>
              </w:rPr>
            </w:pPr>
          </w:p>
          <w:p w14:paraId="73D3A547" w14:textId="65ED34CA" w:rsidR="00E328D4" w:rsidRPr="00150B22" w:rsidRDefault="00183278" w:rsidP="00150B22">
            <w:pPr>
              <w:jc w:val="both"/>
              <w:rPr>
                <w:sz w:val="22"/>
                <w:szCs w:val="22"/>
                <w:lang w:val="es-ES"/>
              </w:rPr>
            </w:pPr>
            <w:r w:rsidRPr="00183278">
              <w:rPr>
                <w:sz w:val="22"/>
                <w:szCs w:val="22"/>
                <w:lang w:val="es-ES"/>
              </w:rPr>
              <w:lastRenderedPageBreak/>
              <w:t>Mayores datos sobre la biología de las especies, estructura de las poblaciones, distribución geográfica están contenidos en el Reporte de Pesquerías, elaborado por WG-FSA</w:t>
            </w:r>
            <w:r w:rsidR="00150B22">
              <w:rPr>
                <w:sz w:val="22"/>
                <w:szCs w:val="22"/>
                <w:lang w:val="es-ES"/>
              </w:rPr>
              <w:t xml:space="preserve"> </w:t>
            </w:r>
            <w:r w:rsidRPr="00183278">
              <w:rPr>
                <w:sz w:val="22"/>
                <w:szCs w:val="22"/>
                <w:lang w:val="es-ES"/>
              </w:rPr>
              <w:t>202</w:t>
            </w:r>
            <w:r w:rsidR="00150B22">
              <w:rPr>
                <w:sz w:val="22"/>
                <w:szCs w:val="22"/>
                <w:lang w:val="es-ES"/>
              </w:rPr>
              <w:t>4</w:t>
            </w:r>
            <w:r w:rsidRPr="00183278">
              <w:rPr>
                <w:sz w:val="22"/>
                <w:szCs w:val="22"/>
                <w:lang w:val="es-ES"/>
              </w:rPr>
              <w:t xml:space="preserve"> y disponibles en la página web de CCRVMA.</w:t>
            </w:r>
          </w:p>
        </w:tc>
      </w:tr>
    </w:tbl>
    <w:p w14:paraId="7DF1A52D" w14:textId="77777777" w:rsidR="00A3197A" w:rsidRPr="00635CC7" w:rsidRDefault="00A3197A" w:rsidP="00693118">
      <w:pPr>
        <w:pStyle w:val="subparagraph"/>
        <w:ind w:left="567"/>
        <w:rPr>
          <w:lang w:val="es-UY"/>
        </w:rPr>
      </w:pPr>
    </w:p>
    <w:p w14:paraId="4B2E1201" w14:textId="14F7B544" w:rsidR="00E328D4" w:rsidRDefault="00E328D4" w:rsidP="00693118">
      <w:pPr>
        <w:pStyle w:val="subparagraph"/>
        <w:ind w:left="567"/>
      </w:pPr>
      <w:r>
        <w:t>(d)</w:t>
      </w:r>
      <w:r>
        <w:tab/>
        <w:t>D</w:t>
      </w:r>
      <w:r w:rsidRPr="006A4C70">
        <w:t>etails of dependent and related species and the likelihood of their being affected by the proposed fishery</w:t>
      </w:r>
      <w:r>
        <w:t>:</w:t>
      </w:r>
    </w:p>
    <w:p w14:paraId="39AA6F57" w14:textId="77777777" w:rsidR="00693118" w:rsidRPr="00635CC7" w:rsidRDefault="00693118" w:rsidP="00693118">
      <w:pPr>
        <w:rPr>
          <w:sz w:val="22"/>
          <w:szCs w:val="22"/>
          <w:lang w:val="es-UY"/>
        </w:rPr>
      </w:pPr>
      <w:r w:rsidRPr="00635CC7">
        <w:rPr>
          <w:sz w:val="22"/>
          <w:szCs w:val="22"/>
          <w:lang w:val="es-UY"/>
        </w:rPr>
        <w:t>(d) Detalles de las especies dependientes y relacionadas.</w:t>
      </w:r>
    </w:p>
    <w:p w14:paraId="6C4123FE" w14:textId="77777777" w:rsidR="00693118" w:rsidRPr="00635CC7" w:rsidRDefault="00693118" w:rsidP="00693118">
      <w:pPr>
        <w:rPr>
          <w:sz w:val="22"/>
          <w:szCs w:val="22"/>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E328D4" w:rsidRPr="00635CC7" w14:paraId="54130C45" w14:textId="77777777" w:rsidTr="005040E7">
        <w:trPr>
          <w:trHeight w:val="8427"/>
        </w:trPr>
        <w:tc>
          <w:tcPr>
            <w:tcW w:w="8920" w:type="dxa"/>
          </w:tcPr>
          <w:p w14:paraId="6F066ED6" w14:textId="77777777" w:rsidR="00C13117" w:rsidRPr="001B73CF" w:rsidRDefault="00C13117" w:rsidP="003E0BD2">
            <w:pPr>
              <w:jc w:val="both"/>
              <w:rPr>
                <w:sz w:val="22"/>
                <w:szCs w:val="22"/>
                <w:lang w:val="es-ES"/>
              </w:rPr>
            </w:pPr>
            <w:r w:rsidRPr="001B73CF">
              <w:rPr>
                <w:sz w:val="22"/>
                <w:szCs w:val="22"/>
                <w:lang w:val="es-ES"/>
              </w:rPr>
              <w:t xml:space="preserve">Los informes de estas pesquerías incluyen también información sobre captura secundaria de peces e invertebrados (cumplimiento MC 33-02 y MC-33-03) y mortalidad incidental de aves y mamíferos marinos (cumplimiento MC 24-02 y MC 25-02). </w:t>
            </w:r>
          </w:p>
          <w:p w14:paraId="64D6EF97" w14:textId="77777777" w:rsidR="00C13117" w:rsidRPr="001B73CF" w:rsidRDefault="00C13117" w:rsidP="003E0BD2">
            <w:pPr>
              <w:jc w:val="both"/>
              <w:rPr>
                <w:sz w:val="22"/>
                <w:szCs w:val="22"/>
                <w:lang w:val="es-ES"/>
              </w:rPr>
            </w:pPr>
          </w:p>
          <w:p w14:paraId="24B26AC5" w14:textId="60BD8D7B" w:rsidR="00C13117" w:rsidRPr="001B73CF" w:rsidRDefault="00C13117" w:rsidP="003E0BD2">
            <w:pPr>
              <w:jc w:val="both"/>
              <w:rPr>
                <w:sz w:val="22"/>
                <w:szCs w:val="22"/>
                <w:lang w:val="es-ES"/>
              </w:rPr>
            </w:pPr>
            <w:r w:rsidRPr="001B73CF">
              <w:rPr>
                <w:sz w:val="22"/>
                <w:szCs w:val="22"/>
                <w:lang w:val="es-ES"/>
              </w:rPr>
              <w:t xml:space="preserve">En la presente propuesta se plantea la operación de palangres automáticos por parte del barco pesquero nacional </w:t>
            </w:r>
            <w:r w:rsidR="001B73CF">
              <w:rPr>
                <w:sz w:val="22"/>
                <w:szCs w:val="22"/>
                <w:lang w:val="es-ES"/>
              </w:rPr>
              <w:t>propuesto</w:t>
            </w:r>
            <w:r w:rsidRPr="001B73CF">
              <w:rPr>
                <w:sz w:val="22"/>
                <w:szCs w:val="22"/>
                <w:lang w:val="es-ES"/>
              </w:rPr>
              <w:t xml:space="preserve">. Este barco opera con dispositivos aprobados por el Comité Científico para evitar la captura incidental de aves, como </w:t>
            </w:r>
            <w:r w:rsidR="001B73CF">
              <w:rPr>
                <w:sz w:val="22"/>
                <w:szCs w:val="22"/>
                <w:lang w:val="es-ES"/>
              </w:rPr>
              <w:t>“</w:t>
            </w:r>
            <w:r w:rsidRPr="001B73CF">
              <w:rPr>
                <w:sz w:val="22"/>
                <w:szCs w:val="22"/>
                <w:lang w:val="es-ES"/>
              </w:rPr>
              <w:t>línea espantapájaros</w:t>
            </w:r>
            <w:r w:rsidR="001B73CF">
              <w:rPr>
                <w:sz w:val="22"/>
                <w:szCs w:val="22"/>
                <w:lang w:val="es-ES"/>
              </w:rPr>
              <w:t>”</w:t>
            </w:r>
            <w:r w:rsidRPr="001B73CF">
              <w:rPr>
                <w:sz w:val="22"/>
                <w:szCs w:val="22"/>
                <w:lang w:val="es-ES"/>
              </w:rPr>
              <w:t xml:space="preserve">. Todas las operaciones de pesca serán realizadas con las acciones </w:t>
            </w:r>
            <w:r w:rsidR="001B73CF">
              <w:rPr>
                <w:sz w:val="22"/>
                <w:szCs w:val="22"/>
                <w:lang w:val="es-ES"/>
              </w:rPr>
              <w:t xml:space="preserve">necesarias e indicadas para la </w:t>
            </w:r>
            <w:r w:rsidRPr="001B73CF">
              <w:rPr>
                <w:sz w:val="22"/>
                <w:szCs w:val="22"/>
                <w:lang w:val="es-ES"/>
              </w:rPr>
              <w:t>protección de la fauna acompañante.</w:t>
            </w:r>
          </w:p>
          <w:p w14:paraId="6BB6C528" w14:textId="77777777" w:rsidR="00C13117" w:rsidRPr="001B73CF" w:rsidRDefault="00C13117" w:rsidP="003E0BD2">
            <w:pPr>
              <w:jc w:val="both"/>
              <w:rPr>
                <w:sz w:val="22"/>
                <w:szCs w:val="22"/>
                <w:lang w:val="es-ES"/>
              </w:rPr>
            </w:pPr>
          </w:p>
          <w:p w14:paraId="5DB67535" w14:textId="2A19F0E9" w:rsidR="00C13117" w:rsidRPr="001B73CF" w:rsidRDefault="00C13117" w:rsidP="003E0BD2">
            <w:pPr>
              <w:autoSpaceDE w:val="0"/>
              <w:autoSpaceDN w:val="0"/>
              <w:adjustRightInd w:val="0"/>
              <w:jc w:val="both"/>
              <w:rPr>
                <w:sz w:val="22"/>
                <w:szCs w:val="22"/>
                <w:lang w:val="es-ES"/>
              </w:rPr>
            </w:pPr>
            <w:r w:rsidRPr="001B73CF">
              <w:rPr>
                <w:sz w:val="22"/>
                <w:szCs w:val="22"/>
                <w:lang w:val="es-ES"/>
              </w:rPr>
              <w:t xml:space="preserve">Las principales especies de captura incidental en esta pesquería son </w:t>
            </w:r>
            <w:proofErr w:type="spellStart"/>
            <w:r w:rsidRPr="001B73CF">
              <w:rPr>
                <w:i/>
                <w:sz w:val="22"/>
                <w:szCs w:val="22"/>
                <w:lang w:val="es-ES"/>
              </w:rPr>
              <w:t>Macrourus</w:t>
            </w:r>
            <w:proofErr w:type="spellEnd"/>
            <w:r w:rsidRPr="001B73CF">
              <w:rPr>
                <w:i/>
                <w:sz w:val="22"/>
                <w:szCs w:val="22"/>
                <w:lang w:val="es-ES"/>
              </w:rPr>
              <w:t xml:space="preserve"> </w:t>
            </w:r>
            <w:proofErr w:type="spellStart"/>
            <w:r w:rsidRPr="001B73CF">
              <w:rPr>
                <w:i/>
                <w:sz w:val="22"/>
                <w:szCs w:val="22"/>
                <w:lang w:val="es-ES"/>
              </w:rPr>
              <w:t>whitsoni</w:t>
            </w:r>
            <w:proofErr w:type="spellEnd"/>
            <w:r w:rsidRPr="001B73CF">
              <w:rPr>
                <w:i/>
                <w:sz w:val="22"/>
                <w:szCs w:val="22"/>
                <w:lang w:val="es-ES"/>
              </w:rPr>
              <w:t xml:space="preserve"> </w:t>
            </w:r>
            <w:r w:rsidRPr="001B73CF">
              <w:rPr>
                <w:sz w:val="22"/>
                <w:szCs w:val="22"/>
                <w:lang w:val="es-ES"/>
              </w:rPr>
              <w:t>(</w:t>
            </w:r>
            <w:r w:rsidRPr="001B73CF">
              <w:rPr>
                <w:i/>
                <w:sz w:val="22"/>
                <w:szCs w:val="22"/>
                <w:lang w:val="es-ES"/>
              </w:rPr>
              <w:t xml:space="preserve">M. </w:t>
            </w:r>
            <w:proofErr w:type="spellStart"/>
            <w:r w:rsidRPr="001B73CF">
              <w:rPr>
                <w:i/>
                <w:sz w:val="22"/>
                <w:szCs w:val="22"/>
                <w:lang w:val="es-ES"/>
              </w:rPr>
              <w:t>whitsoni</w:t>
            </w:r>
            <w:proofErr w:type="spellEnd"/>
            <w:r w:rsidRPr="001B73CF">
              <w:rPr>
                <w:i/>
                <w:sz w:val="22"/>
                <w:szCs w:val="22"/>
                <w:lang w:val="es-ES"/>
              </w:rPr>
              <w:t xml:space="preserve"> y M. </w:t>
            </w:r>
            <w:proofErr w:type="spellStart"/>
            <w:r w:rsidRPr="001B73CF">
              <w:rPr>
                <w:i/>
                <w:sz w:val="22"/>
                <w:szCs w:val="22"/>
                <w:lang w:val="es-ES"/>
              </w:rPr>
              <w:t>caml</w:t>
            </w:r>
            <w:proofErr w:type="spellEnd"/>
            <w:r w:rsidRPr="001B73CF">
              <w:rPr>
                <w:sz w:val="22"/>
                <w:szCs w:val="22"/>
                <w:lang w:val="es-ES"/>
              </w:rPr>
              <w:t xml:space="preserve">; McMillan </w:t>
            </w:r>
            <w:r w:rsidRPr="001B73CF">
              <w:rPr>
                <w:i/>
                <w:sz w:val="22"/>
                <w:szCs w:val="22"/>
                <w:lang w:val="es-ES"/>
              </w:rPr>
              <w:t>et al.</w:t>
            </w:r>
            <w:r w:rsidRPr="001B73CF">
              <w:rPr>
                <w:sz w:val="22"/>
                <w:szCs w:val="22"/>
                <w:lang w:val="es-ES"/>
              </w:rPr>
              <w:t xml:space="preserve"> 2012), </w:t>
            </w:r>
            <w:proofErr w:type="spellStart"/>
            <w:r w:rsidRPr="001B73CF">
              <w:rPr>
                <w:i/>
                <w:sz w:val="22"/>
                <w:szCs w:val="22"/>
                <w:lang w:val="es-ES"/>
              </w:rPr>
              <w:t>Amblyraja</w:t>
            </w:r>
            <w:proofErr w:type="spellEnd"/>
            <w:r w:rsidRPr="001B73CF">
              <w:rPr>
                <w:i/>
                <w:sz w:val="22"/>
                <w:szCs w:val="22"/>
                <w:lang w:val="es-ES"/>
              </w:rPr>
              <w:t xml:space="preserve"> georgiana</w:t>
            </w:r>
            <w:r w:rsidRPr="001B73CF">
              <w:rPr>
                <w:sz w:val="22"/>
                <w:szCs w:val="22"/>
                <w:lang w:val="es-ES"/>
              </w:rPr>
              <w:t xml:space="preserve"> y </w:t>
            </w:r>
            <w:proofErr w:type="spellStart"/>
            <w:r w:rsidRPr="001B73CF">
              <w:rPr>
                <w:i/>
                <w:sz w:val="22"/>
                <w:szCs w:val="22"/>
                <w:lang w:val="es-ES"/>
              </w:rPr>
              <w:t>Bathyraja</w:t>
            </w:r>
            <w:proofErr w:type="spellEnd"/>
            <w:r w:rsidRPr="001B73CF">
              <w:rPr>
                <w:i/>
                <w:sz w:val="22"/>
                <w:szCs w:val="22"/>
                <w:lang w:val="es-ES"/>
              </w:rPr>
              <w:t xml:space="preserve"> </w:t>
            </w:r>
            <w:proofErr w:type="spellStart"/>
            <w:r w:rsidRPr="001B73CF">
              <w:rPr>
                <w:i/>
                <w:sz w:val="22"/>
                <w:szCs w:val="22"/>
                <w:lang w:val="es-ES"/>
              </w:rPr>
              <w:t>eatonii</w:t>
            </w:r>
            <w:proofErr w:type="spellEnd"/>
            <w:r w:rsidRPr="001B73CF">
              <w:rPr>
                <w:sz w:val="22"/>
                <w:szCs w:val="22"/>
                <w:lang w:val="es-ES"/>
              </w:rPr>
              <w:t xml:space="preserve">. El riesgo para </w:t>
            </w:r>
            <w:r w:rsidRPr="001B73CF">
              <w:rPr>
                <w:i/>
                <w:sz w:val="22"/>
                <w:szCs w:val="22"/>
                <w:lang w:val="es-ES"/>
              </w:rPr>
              <w:t xml:space="preserve">M. </w:t>
            </w:r>
            <w:proofErr w:type="spellStart"/>
            <w:r w:rsidRPr="001B73CF">
              <w:rPr>
                <w:i/>
                <w:sz w:val="22"/>
                <w:szCs w:val="22"/>
                <w:lang w:val="es-ES"/>
              </w:rPr>
              <w:t>caml</w:t>
            </w:r>
            <w:proofErr w:type="spellEnd"/>
            <w:r w:rsidRPr="001B73CF">
              <w:rPr>
                <w:sz w:val="22"/>
                <w:szCs w:val="22"/>
                <w:lang w:val="es-ES"/>
              </w:rPr>
              <w:t xml:space="preserve"> no se ha evaluado por separado, el riesgo para </w:t>
            </w:r>
            <w:r w:rsidRPr="001B73CF">
              <w:rPr>
                <w:i/>
                <w:sz w:val="22"/>
                <w:szCs w:val="22"/>
                <w:lang w:val="es-ES"/>
              </w:rPr>
              <w:t xml:space="preserve">M. </w:t>
            </w:r>
            <w:proofErr w:type="spellStart"/>
            <w:r w:rsidRPr="001B73CF">
              <w:rPr>
                <w:i/>
                <w:sz w:val="22"/>
                <w:szCs w:val="22"/>
                <w:lang w:val="es-ES"/>
              </w:rPr>
              <w:t>whitsoni</w:t>
            </w:r>
            <w:proofErr w:type="spellEnd"/>
            <w:r w:rsidRPr="001B73CF">
              <w:rPr>
                <w:sz w:val="22"/>
                <w:szCs w:val="22"/>
                <w:lang w:val="es-ES"/>
              </w:rPr>
              <w:t xml:space="preserve"> se ha mantenido sin cambios desde que se evaluó en 2005 (WG-FSA-05/21), clasificado entre el estado de riesgo 2 y 3 (aunque las características del ciclo de vida pueden hacer que esta especie sea vulnerable a la sobrepesca. </w:t>
            </w:r>
            <w:r w:rsidRPr="001B73CF">
              <w:rPr>
                <w:i/>
                <w:sz w:val="22"/>
                <w:szCs w:val="22"/>
                <w:lang w:val="es-ES"/>
              </w:rPr>
              <w:t>A. georgiana</w:t>
            </w:r>
            <w:r w:rsidRPr="001B73CF">
              <w:rPr>
                <w:sz w:val="22"/>
                <w:szCs w:val="22"/>
                <w:lang w:val="es-ES"/>
              </w:rPr>
              <w:t xml:space="preserve"> también se ha mantenido sin cambios y se clasifica como 3 (especies que se explotan como captura incidental, y tienen un potencial reproductivo limitado, que las hacen especialmente vulnerables a la sobrepesca).</w:t>
            </w:r>
          </w:p>
          <w:p w14:paraId="71BC6C61" w14:textId="77777777" w:rsidR="00C13117" w:rsidRPr="001B73CF" w:rsidRDefault="00C13117" w:rsidP="003E0BD2">
            <w:pPr>
              <w:autoSpaceDE w:val="0"/>
              <w:autoSpaceDN w:val="0"/>
              <w:adjustRightInd w:val="0"/>
              <w:jc w:val="both"/>
              <w:rPr>
                <w:sz w:val="22"/>
                <w:szCs w:val="22"/>
                <w:lang w:val="es-ES"/>
              </w:rPr>
            </w:pPr>
          </w:p>
          <w:p w14:paraId="6496CAC2" w14:textId="0008F6B9" w:rsidR="00C13117" w:rsidRDefault="00C13117" w:rsidP="003E0BD2">
            <w:pPr>
              <w:autoSpaceDE w:val="0"/>
              <w:autoSpaceDN w:val="0"/>
              <w:adjustRightInd w:val="0"/>
              <w:jc w:val="both"/>
              <w:rPr>
                <w:sz w:val="22"/>
                <w:szCs w:val="22"/>
                <w:lang w:val="es-ES"/>
              </w:rPr>
            </w:pPr>
            <w:r w:rsidRPr="001B73CF">
              <w:rPr>
                <w:sz w:val="22"/>
                <w:szCs w:val="22"/>
                <w:lang w:val="es-ES"/>
              </w:rPr>
              <w:t xml:space="preserve">De acuerdo con los datos obtenidos en la campaña de pesca 2019/20, 2020/21 y 2024/25 en Pesca Exploratoria, los barcos uruguayos demostraron capturas incidentales de las especies citadas, pero en bajas proporciones cuantitativas en relación con la captura total, no superando el 0.5% de la captura total. Entre otras especies, se citan con mayor representación en las muestras el </w:t>
            </w:r>
            <w:r w:rsidR="003E0BD2">
              <w:rPr>
                <w:sz w:val="22"/>
                <w:szCs w:val="22"/>
                <w:lang w:val="es-ES"/>
              </w:rPr>
              <w:t>“</w:t>
            </w:r>
            <w:proofErr w:type="spellStart"/>
            <w:r w:rsidRPr="001B73CF">
              <w:rPr>
                <w:sz w:val="22"/>
                <w:szCs w:val="22"/>
                <w:lang w:val="es-ES"/>
              </w:rPr>
              <w:t>draco</w:t>
            </w:r>
            <w:proofErr w:type="spellEnd"/>
            <w:r w:rsidRPr="001B73CF">
              <w:rPr>
                <w:sz w:val="22"/>
                <w:szCs w:val="22"/>
                <w:lang w:val="es-ES"/>
              </w:rPr>
              <w:t xml:space="preserve"> rayado</w:t>
            </w:r>
            <w:r w:rsidR="003E0BD2">
              <w:rPr>
                <w:sz w:val="22"/>
                <w:szCs w:val="22"/>
                <w:lang w:val="es-ES"/>
              </w:rPr>
              <w:t>”</w:t>
            </w:r>
            <w:r w:rsidRPr="001B73CF">
              <w:rPr>
                <w:sz w:val="22"/>
                <w:szCs w:val="22"/>
                <w:lang w:val="es-ES"/>
              </w:rPr>
              <w:t xml:space="preserve"> (</w:t>
            </w:r>
            <w:proofErr w:type="spellStart"/>
            <w:r w:rsidRPr="001B73CF">
              <w:rPr>
                <w:i/>
                <w:iCs/>
                <w:sz w:val="22"/>
                <w:szCs w:val="22"/>
                <w:lang w:val="es-ES"/>
              </w:rPr>
              <w:t>Chionobathyscus</w:t>
            </w:r>
            <w:proofErr w:type="spellEnd"/>
            <w:r w:rsidRPr="001B73CF">
              <w:rPr>
                <w:i/>
                <w:iCs/>
                <w:sz w:val="22"/>
                <w:szCs w:val="22"/>
                <w:lang w:val="es-ES"/>
              </w:rPr>
              <w:t xml:space="preserve"> </w:t>
            </w:r>
            <w:proofErr w:type="spellStart"/>
            <w:r w:rsidRPr="001B73CF">
              <w:rPr>
                <w:i/>
                <w:iCs/>
                <w:sz w:val="22"/>
                <w:szCs w:val="22"/>
                <w:lang w:val="es-ES"/>
              </w:rPr>
              <w:t>dewitti</w:t>
            </w:r>
            <w:proofErr w:type="spellEnd"/>
            <w:r w:rsidRPr="001B73CF">
              <w:rPr>
                <w:sz w:val="22"/>
                <w:szCs w:val="22"/>
                <w:lang w:val="es-ES"/>
              </w:rPr>
              <w:t xml:space="preserve">), el bacalao-anguila (principalmente </w:t>
            </w:r>
            <w:proofErr w:type="spellStart"/>
            <w:r w:rsidRPr="001B73CF">
              <w:rPr>
                <w:i/>
                <w:iCs/>
                <w:sz w:val="22"/>
                <w:szCs w:val="22"/>
                <w:lang w:val="es-ES"/>
              </w:rPr>
              <w:t>Muraenolepis</w:t>
            </w:r>
            <w:proofErr w:type="spellEnd"/>
            <w:r w:rsidRPr="001B73CF">
              <w:rPr>
                <w:i/>
                <w:iCs/>
                <w:sz w:val="22"/>
                <w:szCs w:val="22"/>
                <w:lang w:val="es-ES"/>
              </w:rPr>
              <w:t xml:space="preserve"> </w:t>
            </w:r>
            <w:proofErr w:type="spellStart"/>
            <w:r w:rsidRPr="001B73CF">
              <w:rPr>
                <w:i/>
                <w:iCs/>
                <w:sz w:val="22"/>
                <w:szCs w:val="22"/>
                <w:lang w:val="es-ES"/>
              </w:rPr>
              <w:t>evseenkoi</w:t>
            </w:r>
            <w:proofErr w:type="spellEnd"/>
            <w:r w:rsidRPr="001B73CF">
              <w:rPr>
                <w:sz w:val="22"/>
                <w:szCs w:val="22"/>
                <w:lang w:val="es-ES"/>
              </w:rPr>
              <w:t xml:space="preserve">) y </w:t>
            </w:r>
            <w:r w:rsidR="003E0BD2">
              <w:rPr>
                <w:sz w:val="22"/>
                <w:szCs w:val="22"/>
                <w:lang w:val="es-ES"/>
              </w:rPr>
              <w:t>“</w:t>
            </w:r>
            <w:proofErr w:type="spellStart"/>
            <w:r w:rsidRPr="001B73CF">
              <w:rPr>
                <w:sz w:val="22"/>
                <w:szCs w:val="22"/>
                <w:lang w:val="es-ES"/>
              </w:rPr>
              <w:t>antimora</w:t>
            </w:r>
            <w:proofErr w:type="spellEnd"/>
            <w:r w:rsidR="003E0BD2">
              <w:rPr>
                <w:sz w:val="22"/>
                <w:szCs w:val="22"/>
                <w:lang w:val="es-ES"/>
              </w:rPr>
              <w:t>”</w:t>
            </w:r>
            <w:r w:rsidRPr="001B73CF">
              <w:rPr>
                <w:sz w:val="22"/>
                <w:szCs w:val="22"/>
                <w:lang w:val="es-ES"/>
              </w:rPr>
              <w:t xml:space="preserve"> (</w:t>
            </w:r>
            <w:proofErr w:type="spellStart"/>
            <w:r w:rsidRPr="001B73CF">
              <w:rPr>
                <w:i/>
                <w:iCs/>
                <w:sz w:val="22"/>
                <w:szCs w:val="22"/>
                <w:lang w:val="es-ES"/>
              </w:rPr>
              <w:t>Antimora</w:t>
            </w:r>
            <w:proofErr w:type="spellEnd"/>
            <w:r w:rsidRPr="001B73CF">
              <w:rPr>
                <w:i/>
                <w:iCs/>
                <w:sz w:val="22"/>
                <w:szCs w:val="22"/>
                <w:lang w:val="es-ES"/>
              </w:rPr>
              <w:t xml:space="preserve"> rostrata</w:t>
            </w:r>
            <w:r w:rsidRPr="001B73CF">
              <w:rPr>
                <w:sz w:val="22"/>
                <w:szCs w:val="22"/>
                <w:lang w:val="es-ES"/>
              </w:rPr>
              <w:t xml:space="preserve">).  Asimismo, la proporción de la captura incidental se encuentra dentro de la curva normal de capturas obtenida por </w:t>
            </w:r>
            <w:r w:rsidR="003E0BD2">
              <w:rPr>
                <w:sz w:val="22"/>
                <w:szCs w:val="22"/>
                <w:lang w:val="es-ES"/>
              </w:rPr>
              <w:t xml:space="preserve">otros </w:t>
            </w:r>
            <w:r w:rsidRPr="001B73CF">
              <w:rPr>
                <w:sz w:val="22"/>
                <w:szCs w:val="22"/>
                <w:lang w:val="es-ES"/>
              </w:rPr>
              <w:t>barcos operando en la misma área de pesca.</w:t>
            </w:r>
          </w:p>
          <w:p w14:paraId="6B6A9790" w14:textId="77777777" w:rsidR="00D83D5C" w:rsidRDefault="00D83D5C" w:rsidP="003E0BD2">
            <w:pPr>
              <w:autoSpaceDE w:val="0"/>
              <w:autoSpaceDN w:val="0"/>
              <w:adjustRightInd w:val="0"/>
              <w:jc w:val="both"/>
              <w:rPr>
                <w:sz w:val="22"/>
                <w:szCs w:val="22"/>
                <w:lang w:val="es-ES"/>
              </w:rPr>
            </w:pPr>
          </w:p>
          <w:p w14:paraId="45DA5A7B" w14:textId="09B245ED" w:rsidR="00D83D5C" w:rsidRPr="001B73CF" w:rsidRDefault="00D83D5C" w:rsidP="003E0BD2">
            <w:pPr>
              <w:autoSpaceDE w:val="0"/>
              <w:autoSpaceDN w:val="0"/>
              <w:adjustRightInd w:val="0"/>
              <w:jc w:val="both"/>
              <w:rPr>
                <w:sz w:val="22"/>
                <w:szCs w:val="22"/>
                <w:lang w:val="es-ES"/>
              </w:rPr>
            </w:pPr>
            <w:r>
              <w:rPr>
                <w:sz w:val="22"/>
                <w:szCs w:val="22"/>
                <w:lang w:val="es-ES"/>
              </w:rPr>
              <w:t>La mayoría de las especies antes citadas, que son capturadas en forma incidental, en realidad tienen una baja frecuencia de representación en las muestras de las subáreas 88.1 y 88.2, por lo que se justifica la operación pesquera en las mismas áreas en forma anual para obtener datos de densidad relativa de esas especies en las campañas exploratorias.</w:t>
            </w:r>
          </w:p>
          <w:p w14:paraId="41758243" w14:textId="77777777" w:rsidR="00E328D4" w:rsidRPr="00C13117" w:rsidRDefault="00E328D4" w:rsidP="002E7621">
            <w:pPr>
              <w:widowControl w:val="0"/>
              <w:rPr>
                <w:rFonts w:cs="Times New Roman"/>
                <w:lang w:val="es-ES"/>
              </w:rPr>
            </w:pPr>
          </w:p>
        </w:tc>
      </w:tr>
    </w:tbl>
    <w:p w14:paraId="79CA9B4A" w14:textId="77777777" w:rsidR="00E328D4" w:rsidRPr="00635CC7" w:rsidRDefault="00E328D4" w:rsidP="00E328D4">
      <w:pPr>
        <w:pStyle w:val="Default"/>
        <w:widowControl w:val="0"/>
        <w:rPr>
          <w:sz w:val="22"/>
          <w:szCs w:val="22"/>
          <w:lang w:val="es-UY"/>
        </w:rPr>
      </w:pPr>
    </w:p>
    <w:p w14:paraId="77F01364" w14:textId="77777777" w:rsidR="00FB31DB" w:rsidRPr="00635CC7" w:rsidRDefault="00FB31DB" w:rsidP="00E328D4">
      <w:pPr>
        <w:pStyle w:val="Default"/>
        <w:widowControl w:val="0"/>
        <w:rPr>
          <w:sz w:val="22"/>
          <w:szCs w:val="22"/>
          <w:lang w:val="es-UY"/>
        </w:rPr>
      </w:pPr>
    </w:p>
    <w:p w14:paraId="32FA4190" w14:textId="77777777" w:rsidR="00FB31DB" w:rsidRPr="00635CC7" w:rsidRDefault="00FB31DB" w:rsidP="00E328D4">
      <w:pPr>
        <w:pStyle w:val="Default"/>
        <w:widowControl w:val="0"/>
        <w:rPr>
          <w:sz w:val="22"/>
          <w:szCs w:val="22"/>
          <w:lang w:val="es-UY"/>
        </w:rPr>
      </w:pPr>
    </w:p>
    <w:p w14:paraId="5DCBE230" w14:textId="77777777" w:rsidR="00E328D4" w:rsidRDefault="00E328D4" w:rsidP="00D81FB6">
      <w:pPr>
        <w:pStyle w:val="subparagraph"/>
        <w:ind w:left="567"/>
      </w:pPr>
      <w:r>
        <w:t>(e)</w:t>
      </w:r>
      <w:r>
        <w:tab/>
        <w:t>I</w:t>
      </w:r>
      <w:r w:rsidRPr="006A4C70">
        <w:t>nformation from other fisheries in the region or similar fisheries elsewhere that may assist in the evaluation of potential yield</w:t>
      </w:r>
      <w:r>
        <w:t>:</w:t>
      </w:r>
    </w:p>
    <w:p w14:paraId="40C0AA09" w14:textId="77777777" w:rsidR="00D81FB6" w:rsidRPr="00635CC7" w:rsidRDefault="00D81FB6" w:rsidP="00D81FB6">
      <w:pPr>
        <w:rPr>
          <w:sz w:val="22"/>
          <w:szCs w:val="22"/>
          <w:lang w:val="es-UY"/>
        </w:rPr>
      </w:pPr>
      <w:r w:rsidRPr="00635CC7">
        <w:rPr>
          <w:sz w:val="22"/>
          <w:szCs w:val="22"/>
          <w:lang w:val="es-UY"/>
        </w:rPr>
        <w:t>(e) Información de otras pesquerías en la región o pesquerías similares en otros lugares que puedan ayudar a evaluar el rendimiento potencial:</w:t>
      </w:r>
    </w:p>
    <w:p w14:paraId="07A42F8B" w14:textId="77777777" w:rsidR="00D81FB6" w:rsidRPr="00635CC7" w:rsidRDefault="00D81FB6" w:rsidP="00E328D4">
      <w:pPr>
        <w:pStyle w:val="subparagraph"/>
        <w:rPr>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E328D4" w:rsidRPr="00635CC7" w14:paraId="3393EA9B" w14:textId="77777777" w:rsidTr="00B50B51">
        <w:trPr>
          <w:trHeight w:val="2043"/>
        </w:trPr>
        <w:tc>
          <w:tcPr>
            <w:tcW w:w="9242" w:type="dxa"/>
          </w:tcPr>
          <w:p w14:paraId="49AAEBEB" w14:textId="6CDC5EF2" w:rsidR="001705F9" w:rsidRPr="001E0FAF" w:rsidRDefault="001705F9" w:rsidP="001705F9">
            <w:pPr>
              <w:jc w:val="both"/>
              <w:rPr>
                <w:sz w:val="22"/>
                <w:szCs w:val="22"/>
                <w:lang w:val="es-ES"/>
              </w:rPr>
            </w:pPr>
            <w:r w:rsidRPr="001E0FAF">
              <w:rPr>
                <w:sz w:val="22"/>
                <w:szCs w:val="22"/>
                <w:lang w:val="es-ES"/>
              </w:rPr>
              <w:t>Información que se obtendrá sobre pesquerías similares que están referenciadas en los Informes de Pesquería de Subáreas y Divisiones 88.1 y 88.2 (UIPE 88.2 A-B) en Informe SC-CAMLR 40, SC-CAMLR 41, SC-CAMLR 42, SC-CAMLR 43:</w:t>
            </w:r>
          </w:p>
          <w:p w14:paraId="7B944456" w14:textId="647FA3B2" w:rsidR="001705F9" w:rsidRPr="001E0FAF" w:rsidRDefault="001705F9" w:rsidP="001705F9">
            <w:pPr>
              <w:pStyle w:val="Default"/>
              <w:jc w:val="both"/>
              <w:rPr>
                <w:sz w:val="22"/>
                <w:szCs w:val="22"/>
                <w:lang w:val="es-ES"/>
              </w:rPr>
            </w:pPr>
            <w:r w:rsidRPr="001E0FAF">
              <w:rPr>
                <w:sz w:val="22"/>
                <w:szCs w:val="22"/>
                <w:lang w:val="es-ES"/>
              </w:rPr>
              <w:t xml:space="preserve">-Evaluación de las propuestas de investigación. </w:t>
            </w:r>
          </w:p>
          <w:p w14:paraId="020E8790" w14:textId="0FB7DD33" w:rsidR="001705F9" w:rsidRPr="001E0FAF" w:rsidRDefault="001705F9" w:rsidP="001705F9">
            <w:pPr>
              <w:pStyle w:val="Default"/>
              <w:jc w:val="both"/>
              <w:rPr>
                <w:sz w:val="22"/>
                <w:szCs w:val="22"/>
                <w:lang w:val="es-ES"/>
              </w:rPr>
            </w:pPr>
            <w:r w:rsidRPr="001E0FAF">
              <w:rPr>
                <w:sz w:val="22"/>
                <w:szCs w:val="22"/>
                <w:lang w:val="es-ES"/>
              </w:rPr>
              <w:t xml:space="preserve">-Límites de captura en los bloques de investigación. </w:t>
            </w:r>
          </w:p>
          <w:p w14:paraId="02735D95" w14:textId="1BADB8D5" w:rsidR="001705F9" w:rsidRPr="001E0FAF" w:rsidRDefault="001705F9" w:rsidP="001705F9">
            <w:pPr>
              <w:pStyle w:val="Default"/>
              <w:jc w:val="both"/>
              <w:rPr>
                <w:sz w:val="22"/>
                <w:szCs w:val="22"/>
                <w:lang w:val="es-ES"/>
              </w:rPr>
            </w:pPr>
            <w:r w:rsidRPr="001E0FAF">
              <w:rPr>
                <w:sz w:val="22"/>
                <w:szCs w:val="22"/>
                <w:lang w:val="es-ES"/>
              </w:rPr>
              <w:t xml:space="preserve">-Relaciones con otras áreas de ordenación. </w:t>
            </w:r>
          </w:p>
          <w:p w14:paraId="1ED9CE70" w14:textId="72988BE8" w:rsidR="001705F9" w:rsidRPr="001E0FAF" w:rsidRDefault="001705F9" w:rsidP="001705F9">
            <w:pPr>
              <w:pStyle w:val="Default"/>
              <w:jc w:val="both"/>
              <w:rPr>
                <w:sz w:val="22"/>
                <w:szCs w:val="22"/>
                <w:lang w:val="es-ES"/>
              </w:rPr>
            </w:pPr>
            <w:r w:rsidRPr="001E0FAF">
              <w:rPr>
                <w:sz w:val="22"/>
                <w:szCs w:val="22"/>
                <w:lang w:val="es-ES"/>
              </w:rPr>
              <w:t>-Pesquerías de peces nuevas y exploratorias, avances hacia evaluaciones: hipótesis del stock en el Área 48; hipótesis del stock en el Área 88.1. Asesoramiento de ordenación.</w:t>
            </w:r>
          </w:p>
          <w:p w14:paraId="24D156BB" w14:textId="613C3CE3" w:rsidR="001705F9" w:rsidRPr="001E0FAF" w:rsidRDefault="001705F9" w:rsidP="001705F9">
            <w:pPr>
              <w:pStyle w:val="Default"/>
              <w:jc w:val="both"/>
              <w:rPr>
                <w:sz w:val="22"/>
                <w:szCs w:val="22"/>
                <w:lang w:val="es-ES"/>
              </w:rPr>
            </w:pPr>
            <w:r w:rsidRPr="001E0FAF">
              <w:rPr>
                <w:sz w:val="22"/>
                <w:szCs w:val="22"/>
                <w:lang w:val="es-ES"/>
              </w:rPr>
              <w:t>-Avances hacia evaluaciones. Áreas 88.1 y 88.2; avances hacia evaluaciones. Área 88: Subárea 88.1 y UIPE 882 A–B. Asesoramiento de ordenación.</w:t>
            </w:r>
          </w:p>
          <w:p w14:paraId="0DF9110A" w14:textId="77777777" w:rsidR="001705F9" w:rsidRPr="001E0FAF" w:rsidRDefault="001705F9" w:rsidP="001705F9">
            <w:pPr>
              <w:pStyle w:val="Default"/>
              <w:jc w:val="both"/>
              <w:rPr>
                <w:sz w:val="22"/>
                <w:szCs w:val="22"/>
                <w:lang w:val="es-ES"/>
              </w:rPr>
            </w:pPr>
          </w:p>
          <w:p w14:paraId="4C816547" w14:textId="77777777" w:rsidR="001705F9" w:rsidRPr="001E0FAF" w:rsidRDefault="001705F9" w:rsidP="001705F9">
            <w:pPr>
              <w:pStyle w:val="Default"/>
              <w:widowControl w:val="0"/>
              <w:jc w:val="both"/>
              <w:rPr>
                <w:sz w:val="22"/>
                <w:szCs w:val="22"/>
                <w:lang w:val="es-ES"/>
              </w:rPr>
            </w:pPr>
            <w:r w:rsidRPr="001E0FAF">
              <w:rPr>
                <w:sz w:val="22"/>
                <w:szCs w:val="22"/>
                <w:lang w:val="es-ES"/>
              </w:rPr>
              <w:t>La unidad pesquera presentada pertenece al sistema de observación SISO y compromete la comunicación de todos los datos de muestreos de pesquerías en su comunicación al SC-CAMLR.</w:t>
            </w:r>
          </w:p>
          <w:p w14:paraId="126A2B6C" w14:textId="77777777" w:rsidR="00F146EE" w:rsidRDefault="00F146EE" w:rsidP="001705F9">
            <w:pPr>
              <w:pStyle w:val="Default"/>
              <w:widowControl w:val="0"/>
              <w:jc w:val="both"/>
              <w:rPr>
                <w:sz w:val="20"/>
                <w:szCs w:val="20"/>
                <w:lang w:val="es-ES"/>
              </w:rPr>
            </w:pPr>
          </w:p>
          <w:p w14:paraId="71B122E0" w14:textId="77777777" w:rsidR="00E328D4" w:rsidRPr="001705F9" w:rsidRDefault="00E328D4" w:rsidP="002E7621">
            <w:pPr>
              <w:pStyle w:val="Default"/>
              <w:widowControl w:val="0"/>
              <w:rPr>
                <w:sz w:val="22"/>
                <w:szCs w:val="22"/>
                <w:lang w:val="es-ES"/>
              </w:rPr>
            </w:pPr>
          </w:p>
        </w:tc>
      </w:tr>
    </w:tbl>
    <w:p w14:paraId="4C9C0045" w14:textId="77777777" w:rsidR="00E328D4" w:rsidRPr="00635CC7" w:rsidRDefault="00E328D4" w:rsidP="00E328D4">
      <w:pPr>
        <w:pStyle w:val="Default"/>
        <w:widowControl w:val="0"/>
        <w:rPr>
          <w:sz w:val="22"/>
          <w:szCs w:val="22"/>
          <w:lang w:val="es-UY"/>
        </w:rPr>
      </w:pPr>
    </w:p>
    <w:p w14:paraId="17C3273E" w14:textId="77777777" w:rsidR="00E328D4" w:rsidRPr="00635CC7" w:rsidRDefault="00E328D4" w:rsidP="00E328D4">
      <w:pPr>
        <w:pStyle w:val="Default"/>
        <w:widowControl w:val="0"/>
        <w:rPr>
          <w:sz w:val="22"/>
          <w:szCs w:val="22"/>
          <w:lang w:val="es-UY"/>
        </w:rPr>
      </w:pPr>
    </w:p>
    <w:p w14:paraId="15241694" w14:textId="77777777" w:rsidR="00CB007D" w:rsidRPr="00635CC7" w:rsidRDefault="00CB007D" w:rsidP="00E328D4">
      <w:pPr>
        <w:pStyle w:val="Default"/>
        <w:widowControl w:val="0"/>
        <w:rPr>
          <w:sz w:val="22"/>
          <w:szCs w:val="22"/>
          <w:lang w:val="es-UY"/>
        </w:rPr>
      </w:pPr>
    </w:p>
    <w:p w14:paraId="41D9DB74" w14:textId="77777777" w:rsidR="004A1B2A" w:rsidRDefault="00E328D4" w:rsidP="004A1B2A">
      <w:pPr>
        <w:pStyle w:val="subparagraph"/>
        <w:ind w:left="567"/>
      </w:pPr>
      <w:r>
        <w:t>(f)</w:t>
      </w:r>
      <w:r>
        <w:tab/>
        <w:t>I</w:t>
      </w:r>
      <w:r w:rsidRPr="006A4C70">
        <w:t>f the proposed fishery will be undertaken using bottom trawl gear, information on the known and anticipated impacts of this gear on vulnerable marine ecosystems</w:t>
      </w:r>
      <w:r w:rsidR="004A1B2A">
        <w:t xml:space="preserve"> </w:t>
      </w:r>
      <w:r w:rsidR="004A1B2A" w:rsidRPr="006A4C70">
        <w:t>including benthos and benthic communities</w:t>
      </w:r>
      <w:r w:rsidR="004A1B2A">
        <w:t>:</w:t>
      </w:r>
    </w:p>
    <w:p w14:paraId="277C51F0" w14:textId="08DAFF7E" w:rsidR="004A1B2A" w:rsidRPr="00635CC7" w:rsidRDefault="004A1B2A" w:rsidP="004A1B2A">
      <w:pPr>
        <w:pStyle w:val="subparagraph"/>
        <w:ind w:left="567"/>
        <w:rPr>
          <w:lang w:val="es-UY"/>
        </w:rPr>
      </w:pPr>
      <w:r w:rsidRPr="00635CC7">
        <w:rPr>
          <w:lang w:val="es-UY"/>
        </w:rPr>
        <w:t xml:space="preserve">(f) </w:t>
      </w:r>
      <w:r w:rsidRPr="00635CC7">
        <w:rPr>
          <w:lang w:val="es-UY"/>
        </w:rPr>
        <w:tab/>
        <w:t>Si la pesquería propuesta se realizará utilizando artes de arrastre de fondo, información sobre los impactos conocidos y previstos de estas artes en los ecosistemas marinos vulnerables, incluyendo el bentos y las comunidades bentónicas: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E328D4" w:rsidRPr="00635CC7" w14:paraId="50F605F9" w14:textId="77777777" w:rsidTr="005040E7">
        <w:trPr>
          <w:trHeight w:val="1529"/>
        </w:trPr>
        <w:tc>
          <w:tcPr>
            <w:tcW w:w="9242" w:type="dxa"/>
          </w:tcPr>
          <w:p w14:paraId="459BDE41" w14:textId="101F887A" w:rsidR="00144ACD" w:rsidRPr="001E0FAF" w:rsidRDefault="00144ACD" w:rsidP="00144ACD">
            <w:pPr>
              <w:widowControl w:val="0"/>
              <w:jc w:val="both"/>
              <w:rPr>
                <w:rFonts w:cs="Times New Roman"/>
                <w:sz w:val="22"/>
                <w:szCs w:val="22"/>
                <w:lang w:val="es-ES"/>
              </w:rPr>
            </w:pPr>
            <w:r w:rsidRPr="001E0FAF">
              <w:rPr>
                <w:sz w:val="22"/>
                <w:szCs w:val="22"/>
                <w:lang w:val="es-ES"/>
              </w:rPr>
              <w:t>En la presente propuesta se plantea la operación de palangres automáticos por parte del barco pesquero uruguayo.</w:t>
            </w:r>
            <w:r w:rsidRPr="001E0FAF">
              <w:rPr>
                <w:rFonts w:cs="Times New Roman"/>
                <w:sz w:val="22"/>
                <w:szCs w:val="22"/>
                <w:lang w:val="es-ES"/>
              </w:rPr>
              <w:t xml:space="preserve"> El citado barco no va a utilizar ningún </w:t>
            </w:r>
            <w:r w:rsidR="003459F4">
              <w:rPr>
                <w:rFonts w:cs="Times New Roman"/>
                <w:sz w:val="22"/>
                <w:szCs w:val="22"/>
                <w:lang w:val="es-ES"/>
              </w:rPr>
              <w:t xml:space="preserve">otro </w:t>
            </w:r>
            <w:r w:rsidRPr="001E0FAF">
              <w:rPr>
                <w:rFonts w:cs="Times New Roman"/>
                <w:sz w:val="22"/>
                <w:szCs w:val="22"/>
                <w:lang w:val="es-ES"/>
              </w:rPr>
              <w:t>arte de arrastre de fondo en la subárea propuesta.</w:t>
            </w:r>
          </w:p>
          <w:p w14:paraId="07AA4B78" w14:textId="77777777" w:rsidR="00144ACD" w:rsidRPr="001E0FAF" w:rsidRDefault="00144ACD" w:rsidP="00144ACD">
            <w:pPr>
              <w:jc w:val="both"/>
              <w:rPr>
                <w:sz w:val="22"/>
                <w:szCs w:val="22"/>
                <w:lang w:val="es-ES"/>
              </w:rPr>
            </w:pPr>
          </w:p>
          <w:p w14:paraId="2B1DE4A1" w14:textId="77777777" w:rsidR="00144ACD" w:rsidRPr="001E0FAF" w:rsidRDefault="00144ACD" w:rsidP="00144ACD">
            <w:pPr>
              <w:widowControl w:val="0"/>
              <w:jc w:val="both"/>
              <w:rPr>
                <w:rFonts w:cs="Times New Roman"/>
                <w:sz w:val="22"/>
                <w:szCs w:val="22"/>
                <w:lang w:val="es-ES"/>
              </w:rPr>
            </w:pPr>
            <w:r w:rsidRPr="001E0FAF">
              <w:rPr>
                <w:rFonts w:cs="Times New Roman"/>
                <w:sz w:val="22"/>
                <w:szCs w:val="22"/>
                <w:lang w:val="es-ES"/>
              </w:rPr>
              <w:t xml:space="preserve">Desde 2008, cuando entró en vigor la MC 22-07, se han identificado 76 Zonas de Riesgo de EMV en el Área de la Convención de la CRVMA. Además, se han listado 46 EMV, de conformidad con la MC 22-06, cuatro de los cuales están definidos en virtud de la MC 22-09. Todos los EMV y todas las Zonas de Riesgo de EMV figuran en el registro de EMV de la CCRVMA. Todas las Zonas de Riesgo de EMV y los cuatro EMV citados se ubican en subáreas o divisiones con pesquerías exploratorias abiertas de </w:t>
            </w:r>
            <w:r w:rsidRPr="001E0FAF">
              <w:rPr>
                <w:rFonts w:cs="Times New Roman"/>
                <w:i/>
                <w:iCs/>
                <w:sz w:val="22"/>
                <w:szCs w:val="22"/>
                <w:lang w:val="es-ES"/>
              </w:rPr>
              <w:t>Dissostichus spp</w:t>
            </w:r>
            <w:r w:rsidRPr="001E0FAF">
              <w:rPr>
                <w:rFonts w:cs="Times New Roman"/>
                <w:sz w:val="22"/>
                <w:szCs w:val="22"/>
                <w:lang w:val="es-ES"/>
              </w:rPr>
              <w:t xml:space="preserve">. Los EMV restantes se identificaron durante actividades de investigación científica y se dan, en su mayoría, en zonas cerradas a la pesca de fondo o en profundidades de menos de 550 m, donde, en virtud de la MC 22-08, la pesca de </w:t>
            </w:r>
            <w:r w:rsidRPr="001E0FAF">
              <w:rPr>
                <w:rFonts w:cs="Times New Roman"/>
                <w:i/>
                <w:iCs/>
                <w:sz w:val="22"/>
                <w:szCs w:val="22"/>
                <w:lang w:val="es-ES"/>
              </w:rPr>
              <w:t>Dissostichus spp</w:t>
            </w:r>
            <w:r w:rsidRPr="001E0FAF">
              <w:rPr>
                <w:rFonts w:cs="Times New Roman"/>
                <w:sz w:val="22"/>
                <w:szCs w:val="22"/>
                <w:lang w:val="es-ES"/>
              </w:rPr>
              <w:t>. con fines que no sean de investigación científica está prohibida.</w:t>
            </w:r>
          </w:p>
          <w:p w14:paraId="34D8CA82" w14:textId="77777777" w:rsidR="00144ACD" w:rsidRPr="001E0FAF" w:rsidRDefault="00144ACD" w:rsidP="00144ACD">
            <w:pPr>
              <w:widowControl w:val="0"/>
              <w:jc w:val="both"/>
              <w:rPr>
                <w:rFonts w:cs="Times New Roman"/>
                <w:sz w:val="22"/>
                <w:szCs w:val="22"/>
                <w:lang w:val="es-ES"/>
              </w:rPr>
            </w:pPr>
          </w:p>
          <w:p w14:paraId="76C4B58C" w14:textId="77777777" w:rsidR="00144ACD" w:rsidRPr="001E0FAF" w:rsidRDefault="00144ACD" w:rsidP="00144ACD">
            <w:pPr>
              <w:widowControl w:val="0"/>
              <w:jc w:val="both"/>
              <w:rPr>
                <w:rFonts w:cs="Times New Roman"/>
                <w:sz w:val="22"/>
                <w:szCs w:val="22"/>
                <w:lang w:val="es-ES"/>
              </w:rPr>
            </w:pPr>
            <w:r w:rsidRPr="001E0FAF">
              <w:rPr>
                <w:rFonts w:cs="Times New Roman"/>
                <w:sz w:val="22"/>
                <w:szCs w:val="22"/>
                <w:lang w:val="es-ES"/>
              </w:rPr>
              <w:t>No se espera impacto de las artes de pesca sobre los ecosistemas marinos vulnerables [EMV], debido a la elección de las áreas de pesca y profundidades dentro de las Subáreas 88.1 y 88.2. En caso de detección de evidencia de indicación de EMV en un lance de pesca, las unidades pesqueras seguirán el protocolo indicado de procedimiento de muestreo, identificación de taxa, estimación cuantitativa del hallazgo, registro de datos científicos y retiro del área objetivo [de acuerdo con ‘Registro de EMV’; correspondiente a MC 22-06 y MC 22-07].</w:t>
            </w:r>
          </w:p>
          <w:p w14:paraId="16A2E90D" w14:textId="25458324" w:rsidR="00144ACD" w:rsidRPr="001E0FAF" w:rsidRDefault="00144ACD" w:rsidP="00144ACD">
            <w:pPr>
              <w:widowControl w:val="0"/>
              <w:jc w:val="both"/>
              <w:rPr>
                <w:rFonts w:cs="Times New Roman"/>
                <w:sz w:val="22"/>
                <w:szCs w:val="22"/>
                <w:lang w:val="es-ES"/>
              </w:rPr>
            </w:pPr>
            <w:r>
              <w:fldChar w:fldCharType="begin"/>
            </w:r>
            <w:r w:rsidRPr="00635CC7">
              <w:rPr>
                <w:lang w:val="es-ES"/>
              </w:rPr>
              <w:instrText>HYPERLINK "https://www.ccamlr.org/es/document/data/ccamlr-vme-registry"</w:instrText>
            </w:r>
            <w:r>
              <w:fldChar w:fldCharType="separate"/>
            </w:r>
            <w:r w:rsidRPr="001E0FAF">
              <w:rPr>
                <w:rStyle w:val="Hipervnculo"/>
                <w:sz w:val="22"/>
                <w:szCs w:val="22"/>
                <w:lang w:val="es-ES"/>
              </w:rPr>
              <w:t>https://www.ccamlr.org/es/document/data/ccamlr-vme-registry</w:t>
            </w:r>
            <w:r>
              <w:fldChar w:fldCharType="end"/>
            </w:r>
          </w:p>
          <w:p w14:paraId="02D150C6" w14:textId="77777777" w:rsidR="00144ACD" w:rsidRPr="001E0FAF" w:rsidRDefault="00144ACD" w:rsidP="00144ACD">
            <w:pPr>
              <w:widowControl w:val="0"/>
              <w:jc w:val="both"/>
              <w:rPr>
                <w:rFonts w:cs="Times New Roman"/>
                <w:sz w:val="22"/>
                <w:szCs w:val="22"/>
                <w:lang w:val="es-ES"/>
              </w:rPr>
            </w:pPr>
          </w:p>
          <w:p w14:paraId="02DE33D4" w14:textId="7375A1E9" w:rsidR="00144ACD" w:rsidRPr="001E0FAF" w:rsidRDefault="00144ACD" w:rsidP="00144ACD">
            <w:pPr>
              <w:widowControl w:val="0"/>
              <w:jc w:val="both"/>
              <w:rPr>
                <w:rFonts w:cs="Times New Roman"/>
                <w:sz w:val="22"/>
                <w:szCs w:val="22"/>
                <w:lang w:val="es-ES"/>
              </w:rPr>
            </w:pPr>
            <w:r w:rsidRPr="001E0FAF">
              <w:rPr>
                <w:rFonts w:cs="Times New Roman"/>
                <w:sz w:val="22"/>
                <w:szCs w:val="22"/>
                <w:lang w:val="es-ES"/>
              </w:rPr>
              <w:t>Ver estudio de acción de las artes sobre los fondos y organismos bentónicos, presentados en forma adjunta en cumplimiento de las MC 22-06 para barcos de Uruguay.</w:t>
            </w:r>
          </w:p>
          <w:p w14:paraId="21770321" w14:textId="77777777" w:rsidR="00144ACD" w:rsidRPr="001E0FAF" w:rsidRDefault="00144ACD" w:rsidP="00144ACD">
            <w:pPr>
              <w:widowControl w:val="0"/>
              <w:jc w:val="both"/>
              <w:rPr>
                <w:rFonts w:cs="Times New Roman"/>
                <w:sz w:val="22"/>
                <w:szCs w:val="22"/>
                <w:lang w:val="es-ES"/>
              </w:rPr>
            </w:pPr>
          </w:p>
          <w:p w14:paraId="28DB5116" w14:textId="77777777" w:rsidR="00E328D4" w:rsidRDefault="00144ACD" w:rsidP="00093189">
            <w:pPr>
              <w:widowControl w:val="0"/>
              <w:jc w:val="both"/>
              <w:rPr>
                <w:sz w:val="22"/>
                <w:szCs w:val="22"/>
                <w:lang w:val="es-ES_tradnl"/>
              </w:rPr>
            </w:pPr>
            <w:r w:rsidRPr="001E0FAF">
              <w:rPr>
                <w:sz w:val="22"/>
                <w:szCs w:val="22"/>
                <w:lang w:val="es-ES"/>
              </w:rPr>
              <w:t>Observaciones: La Delegación de Uruguay realizara la implementación de</w:t>
            </w:r>
            <w:r w:rsidRPr="001E0FAF">
              <w:rPr>
                <w:sz w:val="22"/>
                <w:szCs w:val="22"/>
                <w:lang w:val="es-ES_tradnl"/>
              </w:rPr>
              <w:t xml:space="preserve"> cualquier Plan de </w:t>
            </w:r>
            <w:r w:rsidRPr="001E0FAF">
              <w:rPr>
                <w:sz w:val="22"/>
                <w:szCs w:val="22"/>
                <w:lang w:val="es-ES_tradnl"/>
              </w:rPr>
              <w:lastRenderedPageBreak/>
              <w:t>Recopilación de Datos elaborado por el Comité Científico para el área pesquera a la que se presenta la notificación de la intención de llevar a cabo, durante la Pesquería Exploratoria 2026/27.</w:t>
            </w:r>
          </w:p>
          <w:p w14:paraId="3F99B451" w14:textId="77777777" w:rsidR="001E0FAF" w:rsidRDefault="001E0FAF" w:rsidP="00093189">
            <w:pPr>
              <w:widowControl w:val="0"/>
              <w:jc w:val="both"/>
              <w:rPr>
                <w:sz w:val="22"/>
                <w:szCs w:val="22"/>
                <w:lang w:val="es-ES_tradnl"/>
              </w:rPr>
            </w:pPr>
          </w:p>
          <w:p w14:paraId="0CCDDF23" w14:textId="5C751B3C" w:rsidR="001E0FAF" w:rsidRPr="00093189" w:rsidRDefault="001E0FAF" w:rsidP="00093189">
            <w:pPr>
              <w:widowControl w:val="0"/>
              <w:jc w:val="both"/>
              <w:rPr>
                <w:sz w:val="20"/>
                <w:lang w:val="es-ES_tradnl"/>
              </w:rPr>
            </w:pPr>
          </w:p>
        </w:tc>
      </w:tr>
    </w:tbl>
    <w:p w14:paraId="37BCB792" w14:textId="77777777" w:rsidR="005040E7" w:rsidRPr="00635CC7" w:rsidRDefault="005040E7" w:rsidP="00A2586D">
      <w:pPr>
        <w:pStyle w:val="subparagraph"/>
        <w:ind w:left="567"/>
        <w:rPr>
          <w:lang w:val="es-UY"/>
        </w:rPr>
      </w:pPr>
    </w:p>
    <w:p w14:paraId="79544DC8" w14:textId="2113F41E" w:rsidR="00B50B51" w:rsidRDefault="006B0649" w:rsidP="00A2586D">
      <w:pPr>
        <w:pStyle w:val="subparagraph"/>
        <w:ind w:left="567"/>
      </w:pPr>
      <w:r>
        <w:t>(</w:t>
      </w:r>
      <w:r w:rsidR="00A2586D">
        <w:t xml:space="preserve">g) </w:t>
      </w:r>
      <w:r w:rsidR="00B50B51" w:rsidRPr="00B50B51">
        <w:t>Description of the conversion factor(s) to be used</w:t>
      </w:r>
      <w:r w:rsidR="00B50B51">
        <w:t>:</w:t>
      </w:r>
    </w:p>
    <w:p w14:paraId="37385129" w14:textId="6848E705" w:rsidR="00A2586D" w:rsidRPr="00635CC7" w:rsidRDefault="00A2586D" w:rsidP="00A2586D">
      <w:pPr>
        <w:rPr>
          <w:sz w:val="22"/>
          <w:szCs w:val="22"/>
          <w:lang w:val="es-UY"/>
        </w:rPr>
      </w:pPr>
      <w:r w:rsidRPr="00635CC7">
        <w:rPr>
          <w:sz w:val="22"/>
          <w:szCs w:val="22"/>
          <w:lang w:val="es-UY"/>
        </w:rPr>
        <w:t>(g) Descripción del/los factor/es de conversión que se utilizarán:</w:t>
      </w:r>
    </w:p>
    <w:p w14:paraId="03E20CAF" w14:textId="77777777" w:rsidR="00A2586D" w:rsidRPr="00635CC7" w:rsidRDefault="00A2586D" w:rsidP="00A2586D">
      <w:pPr>
        <w:rPr>
          <w:sz w:val="22"/>
          <w:szCs w:val="22"/>
          <w:lang w:val="es-U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0"/>
      </w:tblGrid>
      <w:tr w:rsidR="00B50B51" w14:paraId="4ACEF742" w14:textId="77777777" w:rsidTr="00B50B51">
        <w:trPr>
          <w:trHeight w:val="2132"/>
        </w:trPr>
        <w:tc>
          <w:tcPr>
            <w:tcW w:w="9242" w:type="dxa"/>
          </w:tcPr>
          <w:p w14:paraId="6D05F044" w14:textId="7AE7DC15" w:rsidR="00DF1A4A" w:rsidRPr="001E0FAF" w:rsidRDefault="00E62E62" w:rsidP="00DF1A4A">
            <w:pPr>
              <w:pStyle w:val="NormalWeb"/>
              <w:spacing w:before="0" w:beforeAutospacing="0" w:after="0" w:afterAutospacing="0"/>
              <w:jc w:val="both"/>
              <w:rPr>
                <w:sz w:val="22"/>
                <w:szCs w:val="22"/>
              </w:rPr>
            </w:pPr>
            <w:r w:rsidRPr="001E0FAF">
              <w:rPr>
                <w:sz w:val="22"/>
                <w:szCs w:val="22"/>
              </w:rPr>
              <w:t>El “factor de conversión” (FC) se usa para transformar el peso del producto procesado en el peso vivo o “</w:t>
            </w:r>
            <w:proofErr w:type="spellStart"/>
            <w:r w:rsidRPr="001E0FAF">
              <w:rPr>
                <w:sz w:val="22"/>
                <w:szCs w:val="22"/>
              </w:rPr>
              <w:t>green</w:t>
            </w:r>
            <w:proofErr w:type="spellEnd"/>
            <w:r w:rsidRPr="001E0FAF">
              <w:rPr>
                <w:sz w:val="22"/>
                <w:szCs w:val="22"/>
              </w:rPr>
              <w:t xml:space="preserve"> </w:t>
            </w:r>
            <w:proofErr w:type="spellStart"/>
            <w:r w:rsidRPr="001E0FAF">
              <w:rPr>
                <w:sz w:val="22"/>
                <w:szCs w:val="22"/>
              </w:rPr>
              <w:t>weight</w:t>
            </w:r>
            <w:proofErr w:type="spellEnd"/>
            <w:r w:rsidRPr="001E0FAF">
              <w:rPr>
                <w:sz w:val="22"/>
                <w:szCs w:val="22"/>
              </w:rPr>
              <w:t>” del pez capturado. Los barcos</w:t>
            </w:r>
            <w:r w:rsidR="00BE3C98" w:rsidRPr="001E0FAF">
              <w:rPr>
                <w:sz w:val="22"/>
                <w:szCs w:val="22"/>
              </w:rPr>
              <w:t xml:space="preserve"> </w:t>
            </w:r>
            <w:r w:rsidRPr="001E0FAF">
              <w:rPr>
                <w:sz w:val="22"/>
                <w:szCs w:val="22"/>
              </w:rPr>
              <w:t xml:space="preserve">procesan el pescado a bordo (descabezado, eviscerado, descolado, fileteado), pero las cuotas y capturas oficiales de CCRVMA se expresan en peso vivo, lo cual requiere el calculo del FC en cada barco, en cada </w:t>
            </w:r>
            <w:r w:rsidR="00DF1A4A" w:rsidRPr="001E0FAF">
              <w:rPr>
                <w:sz w:val="22"/>
                <w:szCs w:val="22"/>
              </w:rPr>
              <w:t>área</w:t>
            </w:r>
            <w:r w:rsidRPr="001E0FAF">
              <w:rPr>
                <w:sz w:val="22"/>
                <w:szCs w:val="22"/>
              </w:rPr>
              <w:t xml:space="preserve"> de pesca y en cada temporada</w:t>
            </w:r>
            <w:r w:rsidR="00287E79" w:rsidRPr="001E0FAF">
              <w:rPr>
                <w:sz w:val="22"/>
                <w:szCs w:val="22"/>
              </w:rPr>
              <w:t xml:space="preserve"> de pesca</w:t>
            </w:r>
            <w:r w:rsidRPr="001E0FAF">
              <w:rPr>
                <w:sz w:val="22"/>
                <w:szCs w:val="22"/>
              </w:rPr>
              <w:t>.</w:t>
            </w:r>
            <w:r w:rsidR="00DF1A4A" w:rsidRPr="001E0FAF">
              <w:rPr>
                <w:sz w:val="22"/>
                <w:szCs w:val="22"/>
              </w:rPr>
              <w:t xml:space="preserve"> </w:t>
            </w:r>
          </w:p>
          <w:p w14:paraId="6BF53DDB" w14:textId="77777777" w:rsidR="00DF1A4A" w:rsidRPr="001E0FAF" w:rsidRDefault="00DF1A4A" w:rsidP="00DF1A4A">
            <w:pPr>
              <w:pStyle w:val="NormalWeb"/>
              <w:spacing w:before="0" w:beforeAutospacing="0" w:after="0" w:afterAutospacing="0"/>
              <w:jc w:val="both"/>
              <w:rPr>
                <w:sz w:val="22"/>
                <w:szCs w:val="22"/>
              </w:rPr>
            </w:pPr>
          </w:p>
          <w:p w14:paraId="05AAABB0" w14:textId="2777501C" w:rsidR="00DF1A4A" w:rsidRPr="001E0FAF" w:rsidRDefault="00612F36" w:rsidP="00DF1A4A">
            <w:pPr>
              <w:pStyle w:val="NormalWeb"/>
              <w:spacing w:before="0" w:beforeAutospacing="0" w:after="0" w:afterAutospacing="0"/>
              <w:jc w:val="both"/>
              <w:rPr>
                <w:sz w:val="22"/>
                <w:szCs w:val="22"/>
              </w:rPr>
            </w:pPr>
            <w:r w:rsidRPr="00635CC7">
              <w:rPr>
                <w:sz w:val="22"/>
                <w:szCs w:val="22"/>
                <w:lang w:val="es-UY"/>
              </w:rPr>
              <w:t>FC = Peso procesado / Peso vivo (“green weight”)​</w:t>
            </w:r>
            <w:r w:rsidR="006B1073" w:rsidRPr="00635CC7">
              <w:rPr>
                <w:sz w:val="22"/>
                <w:szCs w:val="22"/>
                <w:lang w:val="es-UY"/>
              </w:rPr>
              <w:t>; Peso vivo = Peso procesado × FC</w:t>
            </w:r>
          </w:p>
          <w:p w14:paraId="4A45BB96" w14:textId="77777777" w:rsidR="000E6BC5" w:rsidRPr="001E0FAF" w:rsidRDefault="000E6BC5" w:rsidP="000E6BC5">
            <w:pPr>
              <w:pStyle w:val="NormalWeb"/>
              <w:spacing w:before="0" w:beforeAutospacing="0" w:after="0" w:afterAutospacing="0"/>
              <w:jc w:val="both"/>
              <w:rPr>
                <w:sz w:val="22"/>
                <w:szCs w:val="22"/>
              </w:rPr>
            </w:pPr>
          </w:p>
          <w:p w14:paraId="69B11684" w14:textId="68E98468" w:rsidR="006665F3" w:rsidRPr="001E0FAF" w:rsidRDefault="006665F3" w:rsidP="000E6BC5">
            <w:pPr>
              <w:pStyle w:val="NormalWeb"/>
              <w:spacing w:before="0" w:beforeAutospacing="0" w:after="0" w:afterAutospacing="0"/>
              <w:jc w:val="both"/>
              <w:rPr>
                <w:sz w:val="22"/>
                <w:szCs w:val="22"/>
              </w:rPr>
            </w:pPr>
            <w:r w:rsidRPr="001E0FAF">
              <w:rPr>
                <w:sz w:val="22"/>
                <w:szCs w:val="22"/>
              </w:rPr>
              <w:t>De acuerdo al manual de procedimiento se procede:</w:t>
            </w:r>
          </w:p>
          <w:p w14:paraId="1D3DE03F" w14:textId="3FCBB967" w:rsidR="00B8171F" w:rsidRPr="001E0FAF" w:rsidRDefault="00B8171F" w:rsidP="000E6BC5">
            <w:pPr>
              <w:pStyle w:val="NormalWeb"/>
              <w:spacing w:before="0" w:beforeAutospacing="0" w:after="0" w:afterAutospacing="0"/>
              <w:jc w:val="both"/>
              <w:rPr>
                <w:sz w:val="22"/>
                <w:szCs w:val="22"/>
              </w:rPr>
            </w:pPr>
            <w:r w:rsidRPr="001E0FAF">
              <w:rPr>
                <w:sz w:val="22"/>
                <w:szCs w:val="22"/>
              </w:rPr>
              <w:t>- Las balanzas a ser utilizadas en las pesadas deben tener el sistema de compensación de movimiento</w:t>
            </w:r>
            <w:r w:rsidR="006F15E9">
              <w:rPr>
                <w:sz w:val="22"/>
                <w:szCs w:val="22"/>
              </w:rPr>
              <w:t xml:space="preserve"> (disminución del error inercial por movimiento del barco).</w:t>
            </w:r>
          </w:p>
          <w:p w14:paraId="1FBB59C4" w14:textId="77777777" w:rsidR="00B8171F" w:rsidRPr="001E0FAF" w:rsidRDefault="00B8171F" w:rsidP="00B8171F">
            <w:pPr>
              <w:pStyle w:val="NormalWeb"/>
              <w:spacing w:before="0" w:beforeAutospacing="0" w:after="0" w:afterAutospacing="0"/>
              <w:jc w:val="both"/>
              <w:rPr>
                <w:sz w:val="22"/>
                <w:szCs w:val="22"/>
              </w:rPr>
            </w:pPr>
            <w:r w:rsidRPr="001E0FAF">
              <w:rPr>
                <w:sz w:val="22"/>
                <w:szCs w:val="22"/>
              </w:rPr>
              <w:t>- Se muestrean cinco peces por cada lance individual, con un tamaño de muestra semanal de 25 individuos.</w:t>
            </w:r>
          </w:p>
          <w:p w14:paraId="13A63BEC" w14:textId="22F52A21" w:rsidR="00B8171F" w:rsidRDefault="00B8171F" w:rsidP="000E6BC5">
            <w:pPr>
              <w:pStyle w:val="NormalWeb"/>
              <w:spacing w:before="0" w:beforeAutospacing="0" w:after="0" w:afterAutospacing="0"/>
              <w:jc w:val="both"/>
              <w:rPr>
                <w:sz w:val="22"/>
                <w:szCs w:val="22"/>
              </w:rPr>
            </w:pPr>
            <w:r w:rsidRPr="001E0FAF">
              <w:rPr>
                <w:sz w:val="22"/>
                <w:szCs w:val="22"/>
              </w:rPr>
              <w:t>- La muestra pesada tiene que tener una moda representativa de la población muestreada, es decir que el FC puede ser extrapolado a la totalidad de los peces capturados</w:t>
            </w:r>
            <w:r w:rsidR="001E0FAF">
              <w:rPr>
                <w:sz w:val="22"/>
                <w:szCs w:val="22"/>
              </w:rPr>
              <w:t xml:space="preserve"> por ese barco pesquero</w:t>
            </w:r>
            <w:r w:rsidRPr="001E0FAF">
              <w:rPr>
                <w:sz w:val="22"/>
                <w:szCs w:val="22"/>
              </w:rPr>
              <w:t>.</w:t>
            </w:r>
          </w:p>
          <w:p w14:paraId="12A6875B" w14:textId="2F7776B2" w:rsidR="008268E9" w:rsidRPr="001E0FAF" w:rsidRDefault="008268E9" w:rsidP="000E6BC5">
            <w:pPr>
              <w:pStyle w:val="NormalWeb"/>
              <w:spacing w:before="0" w:beforeAutospacing="0" w:after="0" w:afterAutospacing="0"/>
              <w:jc w:val="both"/>
              <w:rPr>
                <w:sz w:val="22"/>
                <w:szCs w:val="22"/>
              </w:rPr>
            </w:pPr>
            <w:r>
              <w:rPr>
                <w:sz w:val="22"/>
                <w:szCs w:val="22"/>
              </w:rPr>
              <w:t xml:space="preserve">- </w:t>
            </w:r>
            <w:r w:rsidRPr="00F00401">
              <w:rPr>
                <w:sz w:val="22"/>
              </w:rPr>
              <w:t xml:space="preserve">Los factores de conversión se revisan semanalmente y se actualizan en función del valor calculado por el </w:t>
            </w:r>
            <w:r>
              <w:rPr>
                <w:sz w:val="22"/>
              </w:rPr>
              <w:t>O</w:t>
            </w:r>
            <w:r w:rsidRPr="00F00401">
              <w:rPr>
                <w:sz w:val="22"/>
              </w:rPr>
              <w:t>bservador</w:t>
            </w:r>
            <w:r>
              <w:rPr>
                <w:sz w:val="22"/>
              </w:rPr>
              <w:t>, de acuerdo al procedimiento establecido (SISO).</w:t>
            </w:r>
          </w:p>
          <w:p w14:paraId="1FD2D1EA" w14:textId="77777777" w:rsidR="00B8171F" w:rsidRPr="001E0FAF" w:rsidRDefault="00B8171F" w:rsidP="000E6BC5">
            <w:pPr>
              <w:pStyle w:val="NormalWeb"/>
              <w:spacing w:before="0" w:beforeAutospacing="0" w:after="0" w:afterAutospacing="0"/>
              <w:jc w:val="both"/>
              <w:rPr>
                <w:sz w:val="22"/>
                <w:szCs w:val="22"/>
              </w:rPr>
            </w:pPr>
          </w:p>
          <w:p w14:paraId="7FB274D2" w14:textId="311C09A9" w:rsidR="00A73247" w:rsidRPr="001E0FAF" w:rsidRDefault="00A73247" w:rsidP="000E6BC5">
            <w:pPr>
              <w:pStyle w:val="NormalWeb"/>
              <w:spacing w:before="0" w:beforeAutospacing="0" w:after="0" w:afterAutospacing="0"/>
              <w:jc w:val="both"/>
              <w:rPr>
                <w:sz w:val="22"/>
                <w:szCs w:val="22"/>
              </w:rPr>
            </w:pPr>
            <w:r w:rsidRPr="001E0FAF">
              <w:rPr>
                <w:sz w:val="22"/>
                <w:szCs w:val="22"/>
              </w:rPr>
              <w:t>Procedimiento estándar para el cálculo del FC:</w:t>
            </w:r>
          </w:p>
          <w:p w14:paraId="5B93139C" w14:textId="77777777" w:rsidR="00E5419D" w:rsidRPr="001E0FAF" w:rsidRDefault="00A73247" w:rsidP="00CD3E22">
            <w:pPr>
              <w:pStyle w:val="NormalWeb"/>
              <w:spacing w:before="0" w:beforeAutospacing="0" w:after="0" w:afterAutospacing="0"/>
              <w:jc w:val="both"/>
              <w:rPr>
                <w:sz w:val="22"/>
                <w:szCs w:val="22"/>
              </w:rPr>
            </w:pPr>
            <w:r w:rsidRPr="001E0FAF">
              <w:rPr>
                <w:sz w:val="22"/>
                <w:szCs w:val="22"/>
              </w:rPr>
              <w:t>1. Seleccionar aleatoriamente los peces que se utilizarán para el proceso. Es importante seleccionar una variedad de tamaños de peces que sean representativos de toda la captura.</w:t>
            </w:r>
          </w:p>
          <w:p w14:paraId="4A0F6F9D" w14:textId="39CF2A35" w:rsidR="00A73247" w:rsidRPr="001E0FAF" w:rsidRDefault="00A73247" w:rsidP="00CD3E22">
            <w:pPr>
              <w:pStyle w:val="NormalWeb"/>
              <w:spacing w:before="0" w:beforeAutospacing="0" w:after="0" w:afterAutospacing="0"/>
              <w:jc w:val="both"/>
              <w:rPr>
                <w:sz w:val="22"/>
                <w:szCs w:val="22"/>
              </w:rPr>
            </w:pPr>
            <w:r w:rsidRPr="001E0FAF">
              <w:rPr>
                <w:sz w:val="22"/>
                <w:szCs w:val="22"/>
              </w:rPr>
              <w:t>2. Drenar el agua del estómago del pez con un cuchillo afilado o un tubo, para asegurarse de que el agua ingerida durante el proceso de arrastre no se incluya en el peso vivo.</w:t>
            </w:r>
          </w:p>
          <w:p w14:paraId="60B8E296" w14:textId="1E6BC1F2" w:rsidR="00A73247" w:rsidRPr="001E0FAF" w:rsidRDefault="00A73247" w:rsidP="00CD3E22">
            <w:pPr>
              <w:pStyle w:val="NormalWeb"/>
              <w:spacing w:before="0" w:beforeAutospacing="0" w:after="0" w:afterAutospacing="0"/>
              <w:jc w:val="both"/>
              <w:rPr>
                <w:sz w:val="22"/>
                <w:szCs w:val="22"/>
              </w:rPr>
            </w:pPr>
            <w:r w:rsidRPr="001E0FAF">
              <w:rPr>
                <w:sz w:val="22"/>
                <w:szCs w:val="22"/>
              </w:rPr>
              <w:t>3. Pesar el pez entero y sin procesar, antes de extraer cualquier parte.</w:t>
            </w:r>
          </w:p>
          <w:p w14:paraId="419B7D8C" w14:textId="2DE9B3C2" w:rsidR="00A73247" w:rsidRPr="001E0FAF" w:rsidRDefault="00A73247" w:rsidP="00CD3E22">
            <w:pPr>
              <w:pStyle w:val="NormalWeb"/>
              <w:spacing w:before="0" w:beforeAutospacing="0" w:after="0" w:afterAutospacing="0"/>
              <w:jc w:val="both"/>
              <w:rPr>
                <w:sz w:val="22"/>
                <w:szCs w:val="22"/>
              </w:rPr>
            </w:pPr>
            <w:r w:rsidRPr="001E0FAF">
              <w:rPr>
                <w:sz w:val="22"/>
                <w:szCs w:val="22"/>
              </w:rPr>
              <w:t>4. Registrar el tipo de producto (ej. HGT para cabeza, vísceras y cola) y</w:t>
            </w:r>
            <w:r w:rsidR="00AD4E8B">
              <w:rPr>
                <w:sz w:val="22"/>
                <w:szCs w:val="22"/>
              </w:rPr>
              <w:t xml:space="preserve"> también </w:t>
            </w:r>
            <w:r w:rsidRPr="001E0FAF">
              <w:rPr>
                <w:sz w:val="22"/>
                <w:szCs w:val="22"/>
              </w:rPr>
              <w:t>el tipo de corte (ej. corte recto</w:t>
            </w:r>
            <w:r w:rsidR="00AD4E8B">
              <w:rPr>
                <w:sz w:val="22"/>
                <w:szCs w:val="22"/>
              </w:rPr>
              <w:t>, corte en J, etc.</w:t>
            </w:r>
            <w:r w:rsidRPr="001E0FAF">
              <w:rPr>
                <w:sz w:val="22"/>
                <w:szCs w:val="22"/>
              </w:rPr>
              <w:t>).</w:t>
            </w:r>
            <w:r w:rsidR="00AD4E8B">
              <w:rPr>
                <w:sz w:val="22"/>
                <w:szCs w:val="22"/>
              </w:rPr>
              <w:t xml:space="preserve"> El registro del tipo de corte se comunica con los datos pesqueros.</w:t>
            </w:r>
          </w:p>
          <w:p w14:paraId="4689DFDB" w14:textId="77777777" w:rsidR="00A801AA" w:rsidRPr="001E0FAF" w:rsidRDefault="00A73247" w:rsidP="00A801AA">
            <w:pPr>
              <w:pStyle w:val="NormalWeb"/>
              <w:spacing w:before="0" w:beforeAutospacing="0" w:after="0" w:afterAutospacing="0"/>
              <w:jc w:val="both"/>
              <w:rPr>
                <w:sz w:val="22"/>
                <w:szCs w:val="22"/>
              </w:rPr>
            </w:pPr>
            <w:r w:rsidRPr="001E0FAF">
              <w:rPr>
                <w:sz w:val="22"/>
                <w:szCs w:val="22"/>
              </w:rPr>
              <w:t>5. Registrar el peso del producto final procesado para cada pez. Para HGT, normalmente se trata solo del tronco del pez. Calcular el FC dividiendo el peso vivo total entre el peso procesado.</w:t>
            </w:r>
          </w:p>
          <w:p w14:paraId="4D09E6F8" w14:textId="77777777" w:rsidR="00A801AA" w:rsidRPr="001E0FAF" w:rsidRDefault="00A801AA" w:rsidP="00A801AA">
            <w:pPr>
              <w:pStyle w:val="NormalWeb"/>
              <w:spacing w:before="0" w:beforeAutospacing="0" w:after="0" w:afterAutospacing="0"/>
              <w:jc w:val="both"/>
              <w:rPr>
                <w:sz w:val="22"/>
                <w:szCs w:val="22"/>
              </w:rPr>
            </w:pPr>
          </w:p>
          <w:p w14:paraId="510D70B7" w14:textId="4AE3A2E5" w:rsidR="00A801AA" w:rsidRPr="00635CC7" w:rsidRDefault="00CD3E22" w:rsidP="00A801AA">
            <w:pPr>
              <w:pStyle w:val="NormalWeb"/>
              <w:spacing w:before="0" w:beforeAutospacing="0" w:after="0" w:afterAutospacing="0"/>
              <w:jc w:val="both"/>
              <w:rPr>
                <w:sz w:val="20"/>
                <w:szCs w:val="20"/>
                <w:lang w:val="en-US"/>
              </w:rPr>
            </w:pPr>
            <w:r w:rsidRPr="00635CC7">
              <w:rPr>
                <w:sz w:val="20"/>
                <w:szCs w:val="20"/>
                <w:lang w:val="en-US"/>
              </w:rPr>
              <w:t>Bibliografía:</w:t>
            </w:r>
          </w:p>
          <w:p w14:paraId="327E0E7C" w14:textId="77777777" w:rsidR="00395D6D" w:rsidRPr="00635CC7" w:rsidRDefault="00395D6D" w:rsidP="00395D6D">
            <w:pPr>
              <w:pStyle w:val="NormalWeb"/>
              <w:spacing w:before="0" w:beforeAutospacing="0" w:after="0" w:afterAutospacing="0"/>
              <w:jc w:val="both"/>
              <w:rPr>
                <w:sz w:val="20"/>
                <w:szCs w:val="20"/>
                <w:lang w:val="en-US"/>
              </w:rPr>
            </w:pPr>
            <w:hyperlink r:id="rId9" w:history="1">
              <w:r w:rsidRPr="00635CC7">
                <w:rPr>
                  <w:rStyle w:val="Hipervnculo"/>
                  <w:color w:val="auto"/>
                  <w:sz w:val="20"/>
                  <w:szCs w:val="20"/>
                  <w:lang w:val="en-US"/>
                </w:rPr>
                <w:t>A review of toothfish conversion factor data submitted by vessels and scientific observers</w:t>
              </w:r>
            </w:hyperlink>
            <w:r w:rsidRPr="00635CC7">
              <w:rPr>
                <w:sz w:val="20"/>
                <w:szCs w:val="20"/>
                <w:lang w:val="en-US"/>
              </w:rPr>
              <w:t>.</w:t>
            </w:r>
          </w:p>
          <w:p w14:paraId="44710A57" w14:textId="77777777" w:rsidR="00395D6D" w:rsidRPr="00635CC7" w:rsidRDefault="00395D6D" w:rsidP="00395D6D">
            <w:pPr>
              <w:pStyle w:val="NormalWeb"/>
              <w:spacing w:before="0" w:beforeAutospacing="0" w:after="0" w:afterAutospacing="0"/>
              <w:jc w:val="both"/>
              <w:rPr>
                <w:sz w:val="20"/>
                <w:szCs w:val="20"/>
                <w:lang w:val="en-US"/>
              </w:rPr>
            </w:pPr>
            <w:hyperlink r:id="rId10" w:history="1">
              <w:r w:rsidRPr="00635CC7">
                <w:rPr>
                  <w:rStyle w:val="Hipervnculo"/>
                  <w:color w:val="auto"/>
                  <w:sz w:val="20"/>
                  <w:szCs w:val="20"/>
                  <w:lang w:val="en-US"/>
                </w:rPr>
                <w:t>CCAMLR Commercial Data Collection Manual 2025</w:t>
              </w:r>
            </w:hyperlink>
            <w:r w:rsidRPr="00635CC7">
              <w:rPr>
                <w:sz w:val="20"/>
                <w:szCs w:val="20"/>
                <w:lang w:val="en-US"/>
              </w:rPr>
              <w:t>.</w:t>
            </w:r>
          </w:p>
          <w:p w14:paraId="6EA50D7E" w14:textId="77777777" w:rsidR="00395D6D" w:rsidRPr="00635CC7" w:rsidRDefault="00395D6D" w:rsidP="00395D6D">
            <w:pPr>
              <w:pStyle w:val="NormalWeb"/>
              <w:spacing w:before="0" w:beforeAutospacing="0" w:after="0" w:afterAutospacing="0"/>
              <w:jc w:val="both"/>
              <w:rPr>
                <w:sz w:val="20"/>
                <w:szCs w:val="20"/>
                <w:lang w:val="en-US"/>
              </w:rPr>
            </w:pPr>
            <w:hyperlink r:id="rId11" w:history="1">
              <w:r w:rsidRPr="00635CC7">
                <w:rPr>
                  <w:rStyle w:val="Hipervnculo"/>
                  <w:color w:val="auto"/>
                  <w:sz w:val="20"/>
                  <w:szCs w:val="20"/>
                  <w:lang w:val="en-US"/>
                </w:rPr>
                <w:t>CCAMLR XVIII – Guidelines for Estimating Conversion Factors</w:t>
              </w:r>
            </w:hyperlink>
            <w:r w:rsidRPr="00635CC7">
              <w:rPr>
                <w:sz w:val="20"/>
                <w:szCs w:val="20"/>
                <w:lang w:val="en-US"/>
              </w:rPr>
              <w:t>.</w:t>
            </w:r>
          </w:p>
          <w:p w14:paraId="14643B4F" w14:textId="6443F9FF" w:rsidR="00A801AA" w:rsidRPr="00635CC7" w:rsidRDefault="00A801AA" w:rsidP="00A801AA">
            <w:pPr>
              <w:pStyle w:val="NormalWeb"/>
              <w:spacing w:before="0" w:beforeAutospacing="0" w:after="0" w:afterAutospacing="0"/>
              <w:jc w:val="both"/>
              <w:rPr>
                <w:sz w:val="20"/>
                <w:szCs w:val="20"/>
                <w:lang w:val="en-US"/>
              </w:rPr>
            </w:pPr>
            <w:hyperlink r:id="rId12" w:history="1">
              <w:r w:rsidRPr="00635CC7">
                <w:rPr>
                  <w:rStyle w:val="Hipervnculo"/>
                  <w:color w:val="auto"/>
                  <w:sz w:val="20"/>
                  <w:szCs w:val="20"/>
                  <w:lang w:val="en-US"/>
                </w:rPr>
                <w:t>Current CCAMLR Conversion Factor Procedure (SC-CAMLR Annex 9)</w:t>
              </w:r>
            </w:hyperlink>
            <w:r w:rsidRPr="00635CC7">
              <w:rPr>
                <w:sz w:val="20"/>
                <w:szCs w:val="20"/>
                <w:lang w:val="en-US"/>
              </w:rPr>
              <w:t>.</w:t>
            </w:r>
          </w:p>
          <w:p w14:paraId="4639E70E" w14:textId="4B480233" w:rsidR="00395D6D" w:rsidRPr="004B1038" w:rsidRDefault="00395D6D" w:rsidP="00A801AA">
            <w:pPr>
              <w:pStyle w:val="NormalWeb"/>
              <w:spacing w:before="0" w:beforeAutospacing="0" w:after="0" w:afterAutospacing="0"/>
              <w:jc w:val="both"/>
              <w:rPr>
                <w:sz w:val="20"/>
                <w:szCs w:val="20"/>
              </w:rPr>
            </w:pPr>
            <w:r w:rsidRPr="004B1038">
              <w:rPr>
                <w:sz w:val="20"/>
                <w:szCs w:val="20"/>
              </w:rPr>
              <w:t>Informe WG FSA 2025, Hobart, AUS, 6 al 16 octubre 2025.</w:t>
            </w:r>
          </w:p>
          <w:p w14:paraId="6C3D05DA" w14:textId="77777777" w:rsidR="001E0FAF" w:rsidRDefault="004B1038" w:rsidP="00C445E0">
            <w:pPr>
              <w:widowControl w:val="0"/>
              <w:rPr>
                <w:rFonts w:cs="Times New Roman"/>
                <w:lang w:val="es-ES"/>
              </w:rPr>
            </w:pPr>
            <w:r w:rsidRPr="004B1038">
              <w:rPr>
                <w:rFonts w:cs="Times New Roman"/>
                <w:sz w:val="20"/>
                <w:lang w:val="es-ES"/>
              </w:rPr>
              <w:t>OP</w:t>
            </w:r>
          </w:p>
          <w:p w14:paraId="3238DEFA" w14:textId="5449D4D2" w:rsidR="004B1038" w:rsidRPr="00395D6D" w:rsidRDefault="004B1038" w:rsidP="00C445E0">
            <w:pPr>
              <w:widowControl w:val="0"/>
              <w:rPr>
                <w:rFonts w:cs="Times New Roman"/>
                <w:lang w:val="es-ES"/>
              </w:rPr>
            </w:pPr>
          </w:p>
        </w:tc>
      </w:tr>
    </w:tbl>
    <w:p w14:paraId="58B27AFA" w14:textId="77777777" w:rsidR="0052322C" w:rsidRDefault="0052322C" w:rsidP="004C22A3"/>
    <w:sectPr w:rsidR="0052322C" w:rsidSect="00C35E8C">
      <w:headerReference w:type="default" r:id="rId13"/>
      <w:headerReference w:type="first" r:id="rId14"/>
      <w:footerReference w:type="first" r:id="rId15"/>
      <w:pgSz w:w="11900" w:h="16840"/>
      <w:pgMar w:top="964" w:right="985" w:bottom="1440" w:left="1985" w:header="848" w:footer="2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00CA" w14:textId="77777777" w:rsidR="001D2A9F" w:rsidRDefault="001D2A9F" w:rsidP="00522AAF">
      <w:r>
        <w:separator/>
      </w:r>
    </w:p>
  </w:endnote>
  <w:endnote w:type="continuationSeparator" w:id="0">
    <w:p w14:paraId="2810C7BB" w14:textId="77777777" w:rsidR="001D2A9F" w:rsidRDefault="001D2A9F" w:rsidP="0052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Graphik-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9894" w14:textId="77777777" w:rsidR="00CB1F2E" w:rsidRDefault="00CB1F2E"/>
  <w:tbl>
    <w:tblPr>
      <w:tblStyle w:val="Tablaconcuadrcula"/>
      <w:tblpPr w:leftFromText="181" w:rightFromText="181" w:vertAnchor="page" w:horzAnchor="page" w:tblpX="1022" w:tblpY="15877"/>
      <w:tblW w:w="10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390"/>
      <w:gridCol w:w="2693"/>
      <w:gridCol w:w="2405"/>
    </w:tblGrid>
    <w:tr w:rsidR="00CB1F2E" w14:paraId="39539A88" w14:textId="77777777" w:rsidTr="00C00B07">
      <w:trPr>
        <w:trHeight w:val="425"/>
      </w:trPr>
      <w:tc>
        <w:tcPr>
          <w:tcW w:w="5390" w:type="dxa"/>
        </w:tcPr>
        <w:p w14:paraId="073A3CFC" w14:textId="77777777" w:rsidR="00CB1F2E" w:rsidRPr="00E74AE3" w:rsidRDefault="00CB1F2E" w:rsidP="00CB1F2E">
          <w:pPr>
            <w:widowControl w:val="0"/>
            <w:suppressAutoHyphens/>
            <w:autoSpaceDE w:val="0"/>
            <w:autoSpaceDN w:val="0"/>
            <w:adjustRightInd w:val="0"/>
            <w:spacing w:line="210" w:lineRule="atLeast"/>
            <w:ind w:right="113"/>
            <w:textAlignment w:val="center"/>
            <w:rPr>
              <w:rStyle w:val="nfasis"/>
            </w:rPr>
          </w:pPr>
        </w:p>
      </w:tc>
      <w:tc>
        <w:tcPr>
          <w:tcW w:w="2693" w:type="dxa"/>
        </w:tcPr>
        <w:p w14:paraId="60425381" w14:textId="77777777" w:rsidR="00CB1F2E" w:rsidRDefault="00CB1F2E" w:rsidP="00C00B07">
          <w:pPr>
            <w:spacing w:line="210" w:lineRule="atLeast"/>
            <w:rPr>
              <w:noProof/>
            </w:rPr>
          </w:pPr>
        </w:p>
      </w:tc>
      <w:tc>
        <w:tcPr>
          <w:tcW w:w="2405" w:type="dxa"/>
        </w:tcPr>
        <w:p w14:paraId="6B8A7266" w14:textId="77777777" w:rsidR="00CB1F2E" w:rsidRPr="00E74AE3" w:rsidRDefault="00CB1F2E" w:rsidP="00CB1F2E">
          <w:pPr>
            <w:widowControl w:val="0"/>
            <w:suppressAutoHyphens/>
            <w:autoSpaceDE w:val="0"/>
            <w:autoSpaceDN w:val="0"/>
            <w:adjustRightInd w:val="0"/>
            <w:spacing w:line="210" w:lineRule="atLeast"/>
            <w:ind w:right="113"/>
            <w:textAlignment w:val="center"/>
            <w:rPr>
              <w:rFonts w:ascii="Graphik-Light" w:hAnsi="Graphik-Light" w:cs="Graphik-Light"/>
              <w:color w:val="000000"/>
              <w:sz w:val="14"/>
              <w:szCs w:val="14"/>
            </w:rPr>
          </w:pPr>
        </w:p>
      </w:tc>
    </w:tr>
  </w:tbl>
  <w:p w14:paraId="575C2766" w14:textId="77777777" w:rsidR="00CB1F2E" w:rsidRDefault="00CB1F2E" w:rsidP="00E465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20772" w14:textId="77777777" w:rsidR="001D2A9F" w:rsidRDefault="001D2A9F" w:rsidP="00522AAF">
      <w:r>
        <w:separator/>
      </w:r>
    </w:p>
  </w:footnote>
  <w:footnote w:type="continuationSeparator" w:id="0">
    <w:p w14:paraId="210CA52B" w14:textId="77777777" w:rsidR="001D2A9F" w:rsidRDefault="001D2A9F" w:rsidP="00522AAF">
      <w:r>
        <w:continuationSeparator/>
      </w:r>
    </w:p>
  </w:footnote>
  <w:footnote w:id="1">
    <w:p w14:paraId="4BFFE604" w14:textId="77777777" w:rsidR="00E328D4" w:rsidRDefault="00E328D4" w:rsidP="00E328D4">
      <w:pPr>
        <w:pStyle w:val="Textonotapie"/>
      </w:pPr>
      <w:r w:rsidRPr="006A4C70">
        <w:rPr>
          <w:rStyle w:val="Refdenotaalpie"/>
          <w:rFonts w:cs="Times New Roman"/>
          <w:sz w:val="18"/>
        </w:rPr>
        <w:footnoteRef/>
      </w:r>
      <w:r>
        <w:tab/>
      </w:r>
      <w:r w:rsidRPr="006A4C70">
        <w:t xml:space="preserve">Members are required to submit a single Fisheries Operation Plan for all vessels for each exploratory fishery notification.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413" w14:textId="77777777" w:rsidR="0020184D" w:rsidRDefault="0020184D">
    <w:pPr>
      <w:pStyle w:val="Encabezad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E7C5" w14:textId="77777777" w:rsidR="00CB1F2E" w:rsidRDefault="00C35E8C">
    <w:pPr>
      <w:pStyle w:val="Encabezado"/>
    </w:pPr>
    <w:r>
      <w:br/>
    </w:r>
    <w:r w:rsidR="00CB1F2E">
      <w:rPr>
        <w:noProof/>
        <w:lang w:eastAsia="en-AU"/>
      </w:rPr>
      <w:drawing>
        <wp:anchor distT="0" distB="0" distL="114300" distR="114300" simplePos="0" relativeHeight="251663360" behindDoc="1" locked="0" layoutInCell="1" allowOverlap="1" wp14:anchorId="028E573F" wp14:editId="3D5C70B1">
          <wp:simplePos x="0" y="0"/>
          <wp:positionH relativeFrom="column">
            <wp:posOffset>-744007</wp:posOffset>
          </wp:positionH>
          <wp:positionV relativeFrom="paragraph">
            <wp:posOffset>74930</wp:posOffset>
          </wp:positionV>
          <wp:extent cx="6607958" cy="12251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df"/>
                  <pic:cNvPicPr/>
                </pic:nvPicPr>
                <pic:blipFill>
                  <a:blip r:embed="rId1">
                    <a:extLst>
                      <a:ext uri="{28A0092B-C50C-407E-A947-70E740481C1C}">
                        <a14:useLocalDpi xmlns:a14="http://schemas.microsoft.com/office/drawing/2010/main" val="0"/>
                      </a:ext>
                    </a:extLst>
                  </a:blip>
                  <a:stretch>
                    <a:fillRect/>
                  </a:stretch>
                </pic:blipFill>
                <pic:spPr>
                  <a:xfrm>
                    <a:off x="0" y="0"/>
                    <a:ext cx="6611828" cy="1225862"/>
                  </a:xfrm>
                  <a:prstGeom prst="rect">
                    <a:avLst/>
                  </a:prstGeom>
                </pic:spPr>
              </pic:pic>
            </a:graphicData>
          </a:graphic>
          <wp14:sizeRelH relativeFrom="page">
            <wp14:pctWidth>0</wp14:pctWidth>
          </wp14:sizeRelH>
          <wp14:sizeRelV relativeFrom="page">
            <wp14:pctHeight>0</wp14:pctHeight>
          </wp14:sizeRelV>
        </wp:anchor>
      </w:drawing>
    </w:r>
  </w:p>
  <w:p w14:paraId="75D94DD9" w14:textId="77777777" w:rsidR="00CB1F2E" w:rsidRDefault="00CB1F2E">
    <w:pPr>
      <w:pStyle w:val="Encabezado"/>
    </w:pPr>
  </w:p>
  <w:p w14:paraId="2C8C8381" w14:textId="77777777" w:rsidR="00CB1F2E" w:rsidRDefault="00CB1F2E">
    <w:pPr>
      <w:pStyle w:val="Encabezado"/>
    </w:pPr>
  </w:p>
  <w:p w14:paraId="259DC781" w14:textId="77777777" w:rsidR="00CB1F2E" w:rsidRDefault="00CB1F2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2978"/>
    <w:multiLevelType w:val="hybridMultilevel"/>
    <w:tmpl w:val="A6ACB29C"/>
    <w:lvl w:ilvl="0" w:tplc="9F50430C">
      <w:start w:val="3"/>
      <w:numFmt w:val="lowerLetter"/>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BEA63FF"/>
    <w:multiLevelType w:val="multilevel"/>
    <w:tmpl w:val="0700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75D9A"/>
    <w:multiLevelType w:val="multilevel"/>
    <w:tmpl w:val="3B92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CF7FB6"/>
    <w:multiLevelType w:val="multilevel"/>
    <w:tmpl w:val="618A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E10B9"/>
    <w:multiLevelType w:val="multilevel"/>
    <w:tmpl w:val="83EE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F6B34"/>
    <w:multiLevelType w:val="multilevel"/>
    <w:tmpl w:val="E1EC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8595E"/>
    <w:multiLevelType w:val="multilevel"/>
    <w:tmpl w:val="7FD2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832194">
    <w:abstractNumId w:val="0"/>
  </w:num>
  <w:num w:numId="2" w16cid:durableId="604381978">
    <w:abstractNumId w:val="3"/>
  </w:num>
  <w:num w:numId="3" w16cid:durableId="2032872224">
    <w:abstractNumId w:val="6"/>
  </w:num>
  <w:num w:numId="4" w16cid:durableId="1494226246">
    <w:abstractNumId w:val="4"/>
  </w:num>
  <w:num w:numId="5" w16cid:durableId="2032759119">
    <w:abstractNumId w:val="5"/>
  </w:num>
  <w:num w:numId="6" w16cid:durableId="1910848663">
    <w:abstractNumId w:val="1"/>
  </w:num>
  <w:num w:numId="7" w16cid:durableId="683870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91"/>
    <w:rsid w:val="00001DF3"/>
    <w:rsid w:val="00093189"/>
    <w:rsid w:val="000A144B"/>
    <w:rsid w:val="000E6BC5"/>
    <w:rsid w:val="00101379"/>
    <w:rsid w:val="00113668"/>
    <w:rsid w:val="00113F8C"/>
    <w:rsid w:val="001414B2"/>
    <w:rsid w:val="00144ACD"/>
    <w:rsid w:val="00150B22"/>
    <w:rsid w:val="00151FA0"/>
    <w:rsid w:val="00153CA7"/>
    <w:rsid w:val="001705F9"/>
    <w:rsid w:val="00183278"/>
    <w:rsid w:val="001973C3"/>
    <w:rsid w:val="001B73CF"/>
    <w:rsid w:val="001D0247"/>
    <w:rsid w:val="001D2A9F"/>
    <w:rsid w:val="001E0FAF"/>
    <w:rsid w:val="001E5A93"/>
    <w:rsid w:val="001E6988"/>
    <w:rsid w:val="0020184D"/>
    <w:rsid w:val="00270326"/>
    <w:rsid w:val="00272C56"/>
    <w:rsid w:val="00272DC8"/>
    <w:rsid w:val="002807B0"/>
    <w:rsid w:val="00287E79"/>
    <w:rsid w:val="002A2DCD"/>
    <w:rsid w:val="002A6AB4"/>
    <w:rsid w:val="002C5C24"/>
    <w:rsid w:val="002F683B"/>
    <w:rsid w:val="003302B6"/>
    <w:rsid w:val="00333543"/>
    <w:rsid w:val="0034326C"/>
    <w:rsid w:val="003459F4"/>
    <w:rsid w:val="00374BD4"/>
    <w:rsid w:val="00395D6D"/>
    <w:rsid w:val="003B79C3"/>
    <w:rsid w:val="003D3E26"/>
    <w:rsid w:val="003E0BD2"/>
    <w:rsid w:val="004112DC"/>
    <w:rsid w:val="00436BA1"/>
    <w:rsid w:val="004507CE"/>
    <w:rsid w:val="00491ACC"/>
    <w:rsid w:val="004A1B2A"/>
    <w:rsid w:val="004B1038"/>
    <w:rsid w:val="004B6764"/>
    <w:rsid w:val="004C22A3"/>
    <w:rsid w:val="004C3467"/>
    <w:rsid w:val="004C6F14"/>
    <w:rsid w:val="004E3998"/>
    <w:rsid w:val="005040E7"/>
    <w:rsid w:val="00522AAF"/>
    <w:rsid w:val="0052322C"/>
    <w:rsid w:val="00525408"/>
    <w:rsid w:val="005A3B88"/>
    <w:rsid w:val="00612F36"/>
    <w:rsid w:val="00635CC7"/>
    <w:rsid w:val="006665F3"/>
    <w:rsid w:val="0069000C"/>
    <w:rsid w:val="00693118"/>
    <w:rsid w:val="006956B3"/>
    <w:rsid w:val="006B0649"/>
    <w:rsid w:val="006B1073"/>
    <w:rsid w:val="006C7D07"/>
    <w:rsid w:val="006F15E9"/>
    <w:rsid w:val="00720A7C"/>
    <w:rsid w:val="008268E9"/>
    <w:rsid w:val="00852FD2"/>
    <w:rsid w:val="0088155E"/>
    <w:rsid w:val="008C0645"/>
    <w:rsid w:val="008F1490"/>
    <w:rsid w:val="00946589"/>
    <w:rsid w:val="009D6E17"/>
    <w:rsid w:val="00A07FB9"/>
    <w:rsid w:val="00A12413"/>
    <w:rsid w:val="00A2586D"/>
    <w:rsid w:val="00A3197A"/>
    <w:rsid w:val="00A73247"/>
    <w:rsid w:val="00A801AA"/>
    <w:rsid w:val="00A90083"/>
    <w:rsid w:val="00AA16A5"/>
    <w:rsid w:val="00AD4E8B"/>
    <w:rsid w:val="00AE7ED5"/>
    <w:rsid w:val="00AF77E9"/>
    <w:rsid w:val="00B357EA"/>
    <w:rsid w:val="00B50B51"/>
    <w:rsid w:val="00B64F61"/>
    <w:rsid w:val="00B65E91"/>
    <w:rsid w:val="00B8171F"/>
    <w:rsid w:val="00B84E2E"/>
    <w:rsid w:val="00B87256"/>
    <w:rsid w:val="00B93609"/>
    <w:rsid w:val="00BC043E"/>
    <w:rsid w:val="00BD505E"/>
    <w:rsid w:val="00BE3C98"/>
    <w:rsid w:val="00BF7EC2"/>
    <w:rsid w:val="00C00B07"/>
    <w:rsid w:val="00C03B4E"/>
    <w:rsid w:val="00C10FA3"/>
    <w:rsid w:val="00C13117"/>
    <w:rsid w:val="00C35E8C"/>
    <w:rsid w:val="00C815D8"/>
    <w:rsid w:val="00C83ECC"/>
    <w:rsid w:val="00CB007D"/>
    <w:rsid w:val="00CB1F2E"/>
    <w:rsid w:val="00CC0CB7"/>
    <w:rsid w:val="00CD3E22"/>
    <w:rsid w:val="00D023E1"/>
    <w:rsid w:val="00D40746"/>
    <w:rsid w:val="00D81FB6"/>
    <w:rsid w:val="00D83D5C"/>
    <w:rsid w:val="00D94938"/>
    <w:rsid w:val="00DA1EEF"/>
    <w:rsid w:val="00DC47D3"/>
    <w:rsid w:val="00DD099B"/>
    <w:rsid w:val="00DD31A9"/>
    <w:rsid w:val="00DF1A4A"/>
    <w:rsid w:val="00DF540C"/>
    <w:rsid w:val="00E16B37"/>
    <w:rsid w:val="00E306E3"/>
    <w:rsid w:val="00E328D4"/>
    <w:rsid w:val="00E465DB"/>
    <w:rsid w:val="00E5419D"/>
    <w:rsid w:val="00E62E62"/>
    <w:rsid w:val="00E7480A"/>
    <w:rsid w:val="00E74AE3"/>
    <w:rsid w:val="00EB75DE"/>
    <w:rsid w:val="00EC13DB"/>
    <w:rsid w:val="00EC1A9D"/>
    <w:rsid w:val="00ED0B2B"/>
    <w:rsid w:val="00ED5E1A"/>
    <w:rsid w:val="00F00401"/>
    <w:rsid w:val="00F05B36"/>
    <w:rsid w:val="00F146EE"/>
    <w:rsid w:val="00F35286"/>
    <w:rsid w:val="00F37F09"/>
    <w:rsid w:val="00F65482"/>
    <w:rsid w:val="00FB3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F175A"/>
  <w14:defaultImageDpi w14:val="300"/>
  <w15:docId w15:val="{75386062-331F-4D25-B019-3342FB1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1A"/>
    <w:rPr>
      <w:rFonts w:ascii="Times New Roman" w:eastAsia="Times New Roman" w:hAnsi="Times New Roman" w:cs="Times"/>
      <w:szCs w:val="20"/>
      <w:lang w:val="en-AU" w:eastAsia="en-A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2AAF"/>
    <w:pPr>
      <w:spacing w:after="280" w:line="280" w:lineRule="atLeast"/>
    </w:pPr>
    <w:rPr>
      <w:rFonts w:ascii="Lucida Grande" w:eastAsiaTheme="minorEastAsia" w:hAnsi="Lucida Grande" w:cstheme="minorBidi"/>
      <w:sz w:val="18"/>
      <w:szCs w:val="18"/>
      <w:lang w:eastAsia="en-US"/>
    </w:rPr>
  </w:style>
  <w:style w:type="character" w:customStyle="1" w:styleId="TextodegloboCar">
    <w:name w:val="Texto de globo Car"/>
    <w:basedOn w:val="Fuentedeprrafopredeter"/>
    <w:link w:val="Textodeglobo"/>
    <w:uiPriority w:val="99"/>
    <w:semiHidden/>
    <w:rsid w:val="00522AAF"/>
    <w:rPr>
      <w:rFonts w:ascii="Lucida Grande" w:hAnsi="Lucida Grande"/>
      <w:sz w:val="18"/>
      <w:szCs w:val="18"/>
    </w:rPr>
  </w:style>
  <w:style w:type="paragraph" w:styleId="Encabezado">
    <w:name w:val="header"/>
    <w:basedOn w:val="Normal"/>
    <w:link w:val="EncabezadoCar"/>
    <w:uiPriority w:val="99"/>
    <w:unhideWhenUsed/>
    <w:rsid w:val="00522AAF"/>
    <w:pPr>
      <w:tabs>
        <w:tab w:val="center" w:pos="4320"/>
        <w:tab w:val="right" w:pos="8640"/>
      </w:tabs>
      <w:spacing w:after="280" w:line="280" w:lineRule="atLeast"/>
    </w:pPr>
    <w:rPr>
      <w:rFonts w:eastAsiaTheme="minorEastAsia" w:cstheme="minorBidi"/>
      <w:sz w:val="22"/>
      <w:szCs w:val="24"/>
      <w:lang w:eastAsia="en-US"/>
    </w:rPr>
  </w:style>
  <w:style w:type="character" w:customStyle="1" w:styleId="EncabezadoCar">
    <w:name w:val="Encabezado Car"/>
    <w:basedOn w:val="Fuentedeprrafopredeter"/>
    <w:link w:val="Encabezado"/>
    <w:uiPriority w:val="99"/>
    <w:rsid w:val="00522AAF"/>
  </w:style>
  <w:style w:type="paragraph" w:styleId="Piedepgina">
    <w:name w:val="footer"/>
    <w:basedOn w:val="Normal"/>
    <w:link w:val="PiedepginaCar"/>
    <w:uiPriority w:val="99"/>
    <w:unhideWhenUsed/>
    <w:rsid w:val="00522AAF"/>
    <w:pPr>
      <w:tabs>
        <w:tab w:val="center" w:pos="4320"/>
        <w:tab w:val="right" w:pos="8640"/>
      </w:tabs>
      <w:spacing w:after="280" w:line="280" w:lineRule="atLeast"/>
    </w:pPr>
    <w:rPr>
      <w:rFonts w:eastAsiaTheme="minorEastAsia" w:cstheme="minorBidi"/>
      <w:sz w:val="22"/>
      <w:szCs w:val="24"/>
      <w:lang w:eastAsia="en-US"/>
    </w:rPr>
  </w:style>
  <w:style w:type="character" w:customStyle="1" w:styleId="PiedepginaCar">
    <w:name w:val="Pie de página Car"/>
    <w:basedOn w:val="Fuentedeprrafopredeter"/>
    <w:link w:val="Piedepgina"/>
    <w:uiPriority w:val="99"/>
    <w:rsid w:val="00522AAF"/>
  </w:style>
  <w:style w:type="paragraph" w:customStyle="1" w:styleId="BasicParagraph">
    <w:name w:val="[Basic Paragraph]"/>
    <w:basedOn w:val="Normal"/>
    <w:uiPriority w:val="99"/>
    <w:rsid w:val="003D3E26"/>
    <w:pPr>
      <w:widowControl w:val="0"/>
      <w:suppressAutoHyphens/>
      <w:autoSpaceDE w:val="0"/>
      <w:autoSpaceDN w:val="0"/>
      <w:adjustRightInd w:val="0"/>
      <w:spacing w:after="280" w:line="270" w:lineRule="atLeast"/>
      <w:ind w:right="113"/>
      <w:textAlignment w:val="center"/>
    </w:pPr>
    <w:rPr>
      <w:rFonts w:ascii="Graphik-Light" w:eastAsiaTheme="minorEastAsia" w:hAnsi="Graphik-Light" w:cs="Graphik-Light"/>
      <w:color w:val="000000"/>
      <w:sz w:val="18"/>
      <w:szCs w:val="18"/>
      <w:lang w:eastAsia="en-US"/>
    </w:rPr>
  </w:style>
  <w:style w:type="table" w:styleId="Tablaconcuadrcula">
    <w:name w:val="Table Grid"/>
    <w:basedOn w:val="Tablanormal"/>
    <w:uiPriority w:val="59"/>
    <w:rsid w:val="0069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A3B88"/>
    <w:rPr>
      <w:color w:val="0000FF" w:themeColor="hyperlink"/>
      <w:u w:val="none"/>
    </w:rPr>
  </w:style>
  <w:style w:type="character" w:styleId="Hipervnculovisitado">
    <w:name w:val="FollowedHyperlink"/>
    <w:basedOn w:val="Fuentedeprrafopredeter"/>
    <w:uiPriority w:val="99"/>
    <w:semiHidden/>
    <w:unhideWhenUsed/>
    <w:rsid w:val="00A90083"/>
    <w:rPr>
      <w:color w:val="800080" w:themeColor="followedHyperlink"/>
      <w:u w:val="single"/>
    </w:rPr>
  </w:style>
  <w:style w:type="character" w:styleId="nfasis">
    <w:name w:val="Emphasis"/>
    <w:aliases w:val="Footer Body"/>
    <w:uiPriority w:val="20"/>
    <w:qFormat/>
    <w:rsid w:val="00CB1F2E"/>
    <w:rPr>
      <w:rFonts w:ascii="Graphik-Light" w:hAnsi="Graphik-Light" w:cs="Graphik-Light"/>
      <w:color w:val="000000"/>
      <w:sz w:val="14"/>
      <w:szCs w:val="14"/>
    </w:rPr>
  </w:style>
  <w:style w:type="paragraph" w:customStyle="1" w:styleId="bulletparagraph">
    <w:name w:val="bullet paragraph"/>
    <w:aliases w:val="bp"/>
    <w:basedOn w:val="Normal"/>
    <w:qFormat/>
    <w:rsid w:val="00333543"/>
    <w:pPr>
      <w:spacing w:after="280" w:line="280" w:lineRule="exact"/>
      <w:ind w:left="993" w:hanging="284"/>
    </w:pPr>
    <w:rPr>
      <w:rFonts w:eastAsiaTheme="minorEastAsia" w:cs="Times New Roman"/>
      <w:sz w:val="22"/>
      <w:szCs w:val="24"/>
      <w:lang w:eastAsia="en-US"/>
    </w:rPr>
  </w:style>
  <w:style w:type="paragraph" w:customStyle="1" w:styleId="subparagraph">
    <w:name w:val="subparagraph"/>
    <w:aliases w:val="sp,sub paragraph,sub para"/>
    <w:basedOn w:val="Normal"/>
    <w:link w:val="subparagraphChar"/>
    <w:qFormat/>
    <w:rsid w:val="00333543"/>
    <w:pPr>
      <w:spacing w:after="280" w:line="280" w:lineRule="exact"/>
      <w:ind w:left="1276" w:hanging="567"/>
    </w:pPr>
    <w:rPr>
      <w:rFonts w:eastAsiaTheme="minorEastAsia" w:cstheme="minorBidi"/>
      <w:sz w:val="22"/>
      <w:szCs w:val="24"/>
      <w:lang w:eastAsia="en-US"/>
    </w:rPr>
  </w:style>
  <w:style w:type="paragraph" w:customStyle="1" w:styleId="Default">
    <w:name w:val="Default"/>
    <w:rsid w:val="00E328D4"/>
    <w:pPr>
      <w:autoSpaceDE w:val="0"/>
      <w:autoSpaceDN w:val="0"/>
      <w:adjustRightInd w:val="0"/>
    </w:pPr>
    <w:rPr>
      <w:rFonts w:ascii="Times New Roman" w:eastAsia="Calibri" w:hAnsi="Times New Roman" w:cs="Times New Roman"/>
      <w:color w:val="000000"/>
      <w:lang w:val="en-AU"/>
    </w:rPr>
  </w:style>
  <w:style w:type="paragraph" w:styleId="Textonotapie">
    <w:name w:val="footnote text"/>
    <w:aliases w:val="ft"/>
    <w:basedOn w:val="Normal"/>
    <w:link w:val="TextonotapieCar"/>
    <w:semiHidden/>
    <w:rsid w:val="00E328D4"/>
    <w:pPr>
      <w:ind w:left="284" w:hanging="284"/>
      <w:jc w:val="both"/>
    </w:pPr>
    <w:rPr>
      <w:sz w:val="20"/>
    </w:rPr>
  </w:style>
  <w:style w:type="character" w:customStyle="1" w:styleId="TextonotapieCar">
    <w:name w:val="Texto nota pie Car"/>
    <w:aliases w:val="ft Car"/>
    <w:basedOn w:val="Fuentedeprrafopredeter"/>
    <w:link w:val="Textonotapie"/>
    <w:semiHidden/>
    <w:rsid w:val="00E328D4"/>
    <w:rPr>
      <w:rFonts w:ascii="Times New Roman" w:eastAsia="Times New Roman" w:hAnsi="Times New Roman" w:cs="Times"/>
      <w:sz w:val="20"/>
      <w:szCs w:val="20"/>
      <w:lang w:val="en-AU" w:eastAsia="en-AU"/>
    </w:rPr>
  </w:style>
  <w:style w:type="character" w:styleId="Refdenotaalpie">
    <w:name w:val="footnote reference"/>
    <w:aliases w:val="fr"/>
    <w:semiHidden/>
    <w:rsid w:val="00E328D4"/>
    <w:rPr>
      <w:rFonts w:ascii="Times New Roman" w:hAnsi="Times New Roman"/>
      <w:dstrike w:val="0"/>
      <w:spacing w:val="0"/>
      <w:w w:val="100"/>
      <w:kern w:val="0"/>
      <w:position w:val="0"/>
      <w:sz w:val="24"/>
      <w:vertAlign w:val="superscript"/>
    </w:rPr>
  </w:style>
  <w:style w:type="character" w:customStyle="1" w:styleId="subparagraphChar">
    <w:name w:val="subparagraph Char"/>
    <w:aliases w:val="sp Char,sub paragraph Char,sub para Char"/>
    <w:link w:val="subparagraph"/>
    <w:locked/>
    <w:rsid w:val="00183278"/>
    <w:rPr>
      <w:rFonts w:ascii="Times New Roman" w:hAnsi="Times New Roman"/>
      <w:sz w:val="22"/>
      <w:lang w:val="en-AU"/>
    </w:rPr>
  </w:style>
  <w:style w:type="paragraph" w:styleId="NormalWeb">
    <w:name w:val="Normal (Web)"/>
    <w:basedOn w:val="Normal"/>
    <w:uiPriority w:val="99"/>
    <w:unhideWhenUsed/>
    <w:rsid w:val="00E62E62"/>
    <w:pPr>
      <w:spacing w:before="100" w:beforeAutospacing="1" w:after="100" w:afterAutospacing="1"/>
    </w:pPr>
    <w:rPr>
      <w:rFonts w:cs="Times New Roman"/>
      <w:szCs w:val="24"/>
      <w:lang w:val="es-ES" w:eastAsia="es-ES"/>
    </w:rPr>
  </w:style>
  <w:style w:type="character" w:styleId="Mencinsinresolver">
    <w:name w:val="Unresolved Mention"/>
    <w:basedOn w:val="Fuentedeprrafopredeter"/>
    <w:uiPriority w:val="99"/>
    <w:semiHidden/>
    <w:unhideWhenUsed/>
    <w:rsid w:val="00A801AA"/>
    <w:rPr>
      <w:color w:val="605E5C"/>
      <w:shd w:val="clear" w:color="auto" w:fill="E1DFDD"/>
    </w:rPr>
  </w:style>
  <w:style w:type="table" w:customStyle="1" w:styleId="TableGrid">
    <w:name w:val="TableGrid"/>
    <w:rsid w:val="00F00401"/>
    <w:rPr>
      <w:kern w:val="2"/>
      <w:lang w:val="es-ES" w:eastAsia="es-E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ings.ccamlr.org/system/files/meeting-reports/e-sc-41-a09.pdf?utm_source=chatgp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amlr.org/en/system/files/e-cc-xviii.pdf?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camlr.org/en/system/files/EN%20-%20C2%20Longline%20Fisheries%20Commercial%20data%20manual%202025.pdf?utm_source=chatgpt.com" TargetMode="External"/><Relationship Id="rId4" Type="http://schemas.openxmlformats.org/officeDocument/2006/relationships/settings" Target="settings.xml"/><Relationship Id="rId9" Type="http://schemas.openxmlformats.org/officeDocument/2006/relationships/hyperlink" Target="https://meetings.uat.ccamlr.org/en/ws-cf-2022/01?utm_source=chatgpt.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I:\Communications\Templates\CCAMLR%20Word%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7DF0-6005-42BB-9EFF-73E3E416B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7</Pages>
  <Words>2436</Words>
  <Characters>13886</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CCAMLR</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Lenel</dc:creator>
  <cp:lastModifiedBy>Larissa Lozano</cp:lastModifiedBy>
  <cp:revision>2</cp:revision>
  <cp:lastPrinted>2026-05-25T13:25:00Z</cp:lastPrinted>
  <dcterms:created xsi:type="dcterms:W3CDTF">2026-05-29T15:46:00Z</dcterms:created>
  <dcterms:modified xsi:type="dcterms:W3CDTF">2026-05-29T15:46:00Z</dcterms:modified>
</cp:coreProperties>
</file>