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Ind w:w="-112" w:type="dxa"/>
        <w:tblLayout w:type="fixed"/>
        <w:tblLook w:val="0000" w:firstRow="0" w:lastRow="0" w:firstColumn="0" w:lastColumn="0" w:noHBand="0" w:noVBand="0"/>
      </w:tblPr>
      <w:tblGrid>
        <w:gridCol w:w="6916"/>
        <w:gridCol w:w="2375"/>
      </w:tblGrid>
      <w:tr w:rsidR="00C44835" w:rsidRPr="007C15F5" w:rsidTr="00243BF1">
        <w:trPr>
          <w:trHeight w:val="864"/>
        </w:trPr>
        <w:tc>
          <w:tcPr>
            <w:tcW w:w="6916" w:type="dxa"/>
          </w:tcPr>
          <w:p w:rsidR="00C44835" w:rsidRPr="007C15F5" w:rsidRDefault="00243BF1" w:rsidP="00C33EEE">
            <w:pPr>
              <w:pStyle w:val="conservationmeasuretitle1"/>
            </w:pPr>
            <w:bookmarkStart w:id="0" w:name="_Toc418689747"/>
            <w:bookmarkStart w:id="1" w:name="_Toc435711193"/>
            <w:bookmarkStart w:id="2" w:name="_GoBack" w:colFirst="1" w:colLast="1"/>
            <w:r w:rsidRPr="007C15F5">
              <w:rPr>
                <w:caps w:val="0"/>
              </w:rPr>
              <w:t xml:space="preserve">Conservation Measure </w:t>
            </w:r>
            <w:r w:rsidR="00C44835" w:rsidRPr="007C15F5">
              <w:t>33-02 (</w:t>
            </w:r>
            <w:del w:id="3" w:author="Stephane Thanassekos" w:date="2019-10-29T17:15:00Z">
              <w:r w:rsidR="00C44835" w:rsidRPr="007C15F5" w:rsidDel="00E92E37">
                <w:delText>201</w:delText>
              </w:r>
              <w:r w:rsidR="00172959" w:rsidDel="00E92E37">
                <w:delText>8</w:delText>
              </w:r>
            </w:del>
            <w:ins w:id="4" w:author="Stephane Thanassekos" w:date="2019-10-29T17:15:00Z">
              <w:r w:rsidR="00E92E37" w:rsidRPr="007C15F5">
                <w:t>201</w:t>
              </w:r>
              <w:r w:rsidR="00E92E37">
                <w:t>9</w:t>
              </w:r>
            </w:ins>
            <w:r w:rsidR="00C44835" w:rsidRPr="007C15F5">
              <w:t>)</w:t>
            </w:r>
            <w:bookmarkEnd w:id="0"/>
            <w:bookmarkEnd w:id="1"/>
          </w:p>
          <w:p w:rsidR="00C44835" w:rsidRPr="007C15F5" w:rsidRDefault="00C44835" w:rsidP="00C33EEE">
            <w:pPr>
              <w:pStyle w:val="conservationmeasuretitle2"/>
            </w:pPr>
            <w:bookmarkStart w:id="5" w:name="_Toc418689748"/>
            <w:bookmarkStart w:id="6" w:name="_Toc435711194"/>
            <w:r w:rsidRPr="007C15F5">
              <w:t xml:space="preserve">Limitation of by-catch in Statistical Division 58.5.2 </w:t>
            </w:r>
            <w:r w:rsidRPr="007C15F5">
              <w:br/>
              <w:t xml:space="preserve">in the </w:t>
            </w:r>
            <w:del w:id="7" w:author="Stephane Thanassekos" w:date="2019-10-29T17:15:00Z">
              <w:r w:rsidRPr="007C15F5" w:rsidDel="00E92E37">
                <w:delText>201</w:delText>
              </w:r>
              <w:r w:rsidR="00172959" w:rsidDel="00E92E37">
                <w:delText>8</w:delText>
              </w:r>
            </w:del>
            <w:ins w:id="8" w:author="Stephane Thanassekos" w:date="2019-10-29T17:15:00Z">
              <w:r w:rsidR="00E92E37" w:rsidRPr="007C15F5">
                <w:t>201</w:t>
              </w:r>
              <w:r w:rsidR="00E92E37">
                <w:t>9</w:t>
              </w:r>
            </w:ins>
            <w:r w:rsidRPr="007C15F5">
              <w:t>/</w:t>
            </w:r>
            <w:del w:id="9" w:author="Stephane Thanassekos" w:date="2019-10-29T17:15:00Z">
              <w:r w:rsidRPr="007C15F5" w:rsidDel="00E92E37">
                <w:delText>1</w:delText>
              </w:r>
              <w:r w:rsidR="00172959" w:rsidDel="00E92E37">
                <w:delText>9</w:delText>
              </w:r>
              <w:r w:rsidRPr="007C15F5" w:rsidDel="00E92E37">
                <w:delText xml:space="preserve"> </w:delText>
              </w:r>
            </w:del>
            <w:ins w:id="10" w:author="Stephane Thanassekos" w:date="2019-10-29T17:15:00Z">
              <w:r w:rsidR="00E92E37">
                <w:t>20</w:t>
              </w:r>
              <w:r w:rsidR="00E92E37" w:rsidRPr="007C15F5">
                <w:t xml:space="preserve"> </w:t>
              </w:r>
            </w:ins>
            <w:r w:rsidRPr="007C15F5">
              <w:t>season</w:t>
            </w:r>
            <w:bookmarkEnd w:id="5"/>
            <w:bookmarkEnd w:id="6"/>
          </w:p>
        </w:tc>
        <w:tc>
          <w:tcPr>
            <w:tcW w:w="2375" w:type="dxa"/>
          </w:tcPr>
          <w:tbl>
            <w:tblPr>
              <w:tblW w:w="1981"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1"/>
            </w:tblGrid>
            <w:tr w:rsidR="00C44835" w:rsidRPr="007C15F5" w:rsidTr="00C33EEE">
              <w:trPr>
                <w:cantSplit/>
              </w:trPr>
              <w:tc>
                <w:tcPr>
                  <w:tcW w:w="1981" w:type="dxa"/>
                </w:tcPr>
                <w:p w:rsidR="00C44835" w:rsidRPr="007C15F5" w:rsidRDefault="00C44835" w:rsidP="00C33EEE">
                  <w:pPr>
                    <w:pStyle w:val="circ"/>
                    <w:tabs>
                      <w:tab w:val="clear" w:pos="5100"/>
                      <w:tab w:val="right" w:pos="1719"/>
                    </w:tabs>
                    <w:spacing w:line="200" w:lineRule="atLeast"/>
                    <w:rPr>
                      <w:sz w:val="20"/>
                    </w:rPr>
                  </w:pPr>
                  <w:r w:rsidRPr="007C15F5">
                    <w:rPr>
                      <w:sz w:val="20"/>
                    </w:rPr>
                    <w:t>Species</w:t>
                  </w:r>
                  <w:r w:rsidRPr="007C15F5">
                    <w:rPr>
                      <w:sz w:val="20"/>
                    </w:rPr>
                    <w:tab/>
                    <w:t>by-catch</w:t>
                  </w:r>
                </w:p>
              </w:tc>
            </w:tr>
            <w:tr w:rsidR="00C44835" w:rsidRPr="007C15F5" w:rsidTr="00C33EEE">
              <w:trPr>
                <w:cantSplit/>
              </w:trPr>
              <w:tc>
                <w:tcPr>
                  <w:tcW w:w="1981" w:type="dxa"/>
                </w:tcPr>
                <w:p w:rsidR="00C44835" w:rsidRPr="007C15F5" w:rsidRDefault="00C44835" w:rsidP="00C33EEE">
                  <w:pPr>
                    <w:pStyle w:val="Footer"/>
                    <w:tabs>
                      <w:tab w:val="right" w:pos="1719"/>
                    </w:tabs>
                    <w:spacing w:line="200" w:lineRule="atLeast"/>
                  </w:pPr>
                  <w:r w:rsidRPr="007C15F5">
                    <w:t>Area</w:t>
                  </w:r>
                  <w:r w:rsidRPr="007C15F5">
                    <w:tab/>
                    <w:t>58.5.2</w:t>
                  </w:r>
                </w:p>
              </w:tc>
            </w:tr>
            <w:tr w:rsidR="00C44835" w:rsidRPr="007C15F5" w:rsidTr="00C33EEE">
              <w:trPr>
                <w:cantSplit/>
              </w:trPr>
              <w:tc>
                <w:tcPr>
                  <w:tcW w:w="1981" w:type="dxa"/>
                </w:tcPr>
                <w:p w:rsidR="00C44835" w:rsidRPr="007C15F5" w:rsidRDefault="00C44835" w:rsidP="00C33EEE">
                  <w:pPr>
                    <w:pStyle w:val="Footer"/>
                    <w:tabs>
                      <w:tab w:val="right" w:pos="1719"/>
                    </w:tabs>
                    <w:spacing w:line="200" w:lineRule="atLeast"/>
                    <w:rPr>
                      <w:caps/>
                    </w:rPr>
                  </w:pPr>
                  <w:r w:rsidRPr="007C15F5">
                    <w:t>Season</w:t>
                  </w:r>
                  <w:r w:rsidRPr="007C15F5">
                    <w:tab/>
                  </w:r>
                  <w:del w:id="11" w:author="Stephane Thanassekos" w:date="2019-10-29T17:15:00Z">
                    <w:r w:rsidRPr="007C15F5" w:rsidDel="00E92E37">
                      <w:delText>201</w:delText>
                    </w:r>
                    <w:r w:rsidR="00172959" w:rsidDel="00E92E37">
                      <w:delText>8</w:delText>
                    </w:r>
                  </w:del>
                  <w:ins w:id="12" w:author="Stephane Thanassekos" w:date="2019-10-29T17:15:00Z">
                    <w:r w:rsidR="00E92E37" w:rsidRPr="007C15F5">
                      <w:t>201</w:t>
                    </w:r>
                    <w:r w:rsidR="00E92E37">
                      <w:t>9</w:t>
                    </w:r>
                  </w:ins>
                  <w:r w:rsidRPr="007C15F5">
                    <w:t>/</w:t>
                  </w:r>
                  <w:del w:id="13" w:author="Stephane Thanassekos" w:date="2019-10-29T17:16:00Z">
                    <w:r w:rsidRPr="007C15F5" w:rsidDel="00E92E37">
                      <w:delText>1</w:delText>
                    </w:r>
                    <w:r w:rsidR="00172959" w:rsidDel="00E92E37">
                      <w:delText>9</w:delText>
                    </w:r>
                  </w:del>
                  <w:ins w:id="14" w:author="Stephane Thanassekos" w:date="2019-10-29T17:16:00Z">
                    <w:r w:rsidR="00E92E37">
                      <w:t>20</w:t>
                    </w:r>
                  </w:ins>
                </w:p>
              </w:tc>
            </w:tr>
            <w:tr w:rsidR="00C44835" w:rsidRPr="007C15F5" w:rsidTr="00C33EEE">
              <w:trPr>
                <w:cantSplit/>
              </w:trPr>
              <w:tc>
                <w:tcPr>
                  <w:tcW w:w="1981" w:type="dxa"/>
                </w:tcPr>
                <w:p w:rsidR="00C44835" w:rsidRPr="007C15F5" w:rsidRDefault="00C44835" w:rsidP="00C33EEE">
                  <w:pPr>
                    <w:tabs>
                      <w:tab w:val="right" w:pos="1719"/>
                    </w:tabs>
                    <w:spacing w:line="200" w:lineRule="atLeast"/>
                    <w:rPr>
                      <w:sz w:val="20"/>
                    </w:rPr>
                  </w:pPr>
                  <w:r w:rsidRPr="007C15F5">
                    <w:rPr>
                      <w:sz w:val="20"/>
                    </w:rPr>
                    <w:t>Gear</w:t>
                  </w:r>
                  <w:r w:rsidRPr="007C15F5">
                    <w:rPr>
                      <w:sz w:val="20"/>
                    </w:rPr>
                    <w:tab/>
                    <w:t>all</w:t>
                  </w:r>
                </w:p>
              </w:tc>
            </w:tr>
          </w:tbl>
          <w:p w:rsidR="00C44835" w:rsidRPr="007C15F5" w:rsidRDefault="00C44835" w:rsidP="00C33EEE">
            <w:pPr>
              <w:pStyle w:val="conservationmeasuretitle1"/>
            </w:pPr>
          </w:p>
        </w:tc>
      </w:tr>
    </w:tbl>
    <w:bookmarkEnd w:id="2"/>
    <w:p w:rsidR="00C44835" w:rsidRPr="007C15F5" w:rsidRDefault="00C44835" w:rsidP="00C44835">
      <w:pPr>
        <w:pStyle w:val="cmnumberedpara"/>
        <w:spacing w:before="240"/>
      </w:pPr>
      <w:r w:rsidRPr="007C15F5">
        <w:t>1.</w:t>
      </w:r>
      <w:r w:rsidRPr="007C15F5">
        <w:tab/>
        <w:t xml:space="preserve">There shall be no directed fishing for any species other than </w:t>
      </w:r>
      <w:r w:rsidRPr="007C15F5">
        <w:rPr>
          <w:i/>
        </w:rPr>
        <w:t xml:space="preserve">Dissostichus eleginoides </w:t>
      </w:r>
      <w:r w:rsidRPr="007C15F5">
        <w:t xml:space="preserve">and </w:t>
      </w:r>
      <w:r w:rsidRPr="007C15F5">
        <w:rPr>
          <w:i/>
        </w:rPr>
        <w:t>Champsocephalus gunnari</w:t>
      </w:r>
      <w:r w:rsidRPr="007C15F5">
        <w:t xml:space="preserve"> in Statistical Division 58.5.2 in the </w:t>
      </w:r>
      <w:del w:id="15" w:author="Stephane Thanassekos" w:date="2019-10-29T17:16:00Z">
        <w:r w:rsidRPr="007C15F5" w:rsidDel="00E92E37">
          <w:delText>201</w:delText>
        </w:r>
        <w:r w:rsidR="00172959" w:rsidDel="00E92E37">
          <w:delText>8</w:delText>
        </w:r>
      </w:del>
      <w:ins w:id="16" w:author="Stephane Thanassekos" w:date="2019-10-29T17:16:00Z">
        <w:r w:rsidR="00E92E37" w:rsidRPr="007C15F5">
          <w:t>201</w:t>
        </w:r>
        <w:r w:rsidR="00E92E37">
          <w:t>9</w:t>
        </w:r>
      </w:ins>
      <w:r w:rsidRPr="007C15F5">
        <w:t>/</w:t>
      </w:r>
      <w:del w:id="17" w:author="Stephane Thanassekos" w:date="2019-10-29T17:16:00Z">
        <w:r w:rsidRPr="007C15F5" w:rsidDel="00E92E37">
          <w:delText>1</w:delText>
        </w:r>
        <w:r w:rsidR="00172959" w:rsidDel="00E92E37">
          <w:delText>9</w:delText>
        </w:r>
      </w:del>
      <w:ins w:id="18" w:author="Stephane Thanassekos" w:date="2019-10-29T17:16:00Z">
        <w:r w:rsidR="00E92E37">
          <w:t>20</w:t>
        </w:r>
      </w:ins>
      <w:r w:rsidRPr="007C15F5">
        <w:t xml:space="preserve"> fishing season.</w:t>
      </w:r>
    </w:p>
    <w:p w:rsidR="00C44835" w:rsidRPr="007C15F5" w:rsidRDefault="00C44835" w:rsidP="00C44835">
      <w:pPr>
        <w:pStyle w:val="cmnumberedpara"/>
      </w:pPr>
      <w:r w:rsidRPr="007C15F5">
        <w:t>2.</w:t>
      </w:r>
      <w:r w:rsidRPr="007C15F5">
        <w:tab/>
      </w:r>
      <w:r w:rsidRPr="007C15F5">
        <w:rPr>
          <w:szCs w:val="24"/>
        </w:rPr>
        <w:t>In directed fisheries in Statistical Division 58.5.2 in the 201</w:t>
      </w:r>
      <w:del w:id="19" w:author="Stephane Thanassekos" w:date="2019-10-29T17:16:00Z">
        <w:r w:rsidR="00172959" w:rsidDel="00E92E37">
          <w:rPr>
            <w:szCs w:val="24"/>
          </w:rPr>
          <w:delText>8</w:delText>
        </w:r>
      </w:del>
      <w:ins w:id="20" w:author="Stephane Thanassekos" w:date="2019-10-29T17:16:00Z">
        <w:r w:rsidR="00E92E37">
          <w:rPr>
            <w:szCs w:val="24"/>
          </w:rPr>
          <w:t>9</w:t>
        </w:r>
      </w:ins>
      <w:r w:rsidRPr="007C15F5">
        <w:rPr>
          <w:szCs w:val="24"/>
        </w:rPr>
        <w:t>/</w:t>
      </w:r>
      <w:del w:id="21" w:author="Stephane Thanassekos" w:date="2019-10-29T17:16:00Z">
        <w:r w:rsidRPr="007C15F5" w:rsidDel="00E92E37">
          <w:rPr>
            <w:szCs w:val="24"/>
          </w:rPr>
          <w:delText>1</w:delText>
        </w:r>
        <w:r w:rsidR="00172959" w:rsidDel="00E92E37">
          <w:rPr>
            <w:szCs w:val="24"/>
          </w:rPr>
          <w:delText>9</w:delText>
        </w:r>
      </w:del>
      <w:ins w:id="22" w:author="Stephane Thanassekos" w:date="2019-10-29T17:16:00Z">
        <w:r w:rsidR="00E92E37">
          <w:rPr>
            <w:szCs w:val="24"/>
          </w:rPr>
          <w:t>20</w:t>
        </w:r>
      </w:ins>
      <w:r w:rsidRPr="007C15F5">
        <w:rPr>
          <w:szCs w:val="24"/>
        </w:rPr>
        <w:t xml:space="preserve"> season, the by</w:t>
      </w:r>
      <w:r w:rsidRPr="007C15F5">
        <w:rPr>
          <w:szCs w:val="24"/>
        </w:rPr>
        <w:noBreakHyphen/>
        <w:t xml:space="preserve">catch of </w:t>
      </w:r>
      <w:r w:rsidRPr="007C15F5">
        <w:rPr>
          <w:i/>
          <w:szCs w:val="24"/>
        </w:rPr>
        <w:t>Channichthys rhinoceratus</w:t>
      </w:r>
      <w:r w:rsidRPr="007C15F5">
        <w:rPr>
          <w:szCs w:val="24"/>
        </w:rPr>
        <w:t xml:space="preserve"> shall not exceed 1 663 tonnes, the by-catch of </w:t>
      </w:r>
      <w:r w:rsidRPr="007C15F5">
        <w:rPr>
          <w:i/>
          <w:szCs w:val="24"/>
        </w:rPr>
        <w:t>Lepidonotothen squamifrons</w:t>
      </w:r>
      <w:r w:rsidRPr="007C15F5">
        <w:rPr>
          <w:szCs w:val="24"/>
        </w:rPr>
        <w:t xml:space="preserve"> shall not exceed 80 tonnes, the by-catch of </w:t>
      </w:r>
      <w:r w:rsidRPr="007C15F5">
        <w:rPr>
          <w:i/>
          <w:iCs/>
          <w:szCs w:val="24"/>
        </w:rPr>
        <w:t>Macrourus</w:t>
      </w:r>
      <w:r w:rsidRPr="007C15F5">
        <w:rPr>
          <w:szCs w:val="24"/>
        </w:rPr>
        <w:t xml:space="preserve"> </w:t>
      </w:r>
      <w:r w:rsidRPr="007C15F5">
        <w:rPr>
          <w:i/>
        </w:rPr>
        <w:t>caml</w:t>
      </w:r>
      <w:r w:rsidRPr="007C15F5">
        <w:t xml:space="preserve"> and </w:t>
      </w:r>
      <w:r w:rsidRPr="007C15F5">
        <w:rPr>
          <w:i/>
          <w:iCs/>
          <w:szCs w:val="24"/>
        </w:rPr>
        <w:t>Macrourus</w:t>
      </w:r>
      <w:r w:rsidRPr="007C15F5">
        <w:rPr>
          <w:i/>
        </w:rPr>
        <w:t xml:space="preserve"> whitsoni</w:t>
      </w:r>
      <w:r w:rsidRPr="007C15F5">
        <w:t xml:space="preserve"> combined </w:t>
      </w:r>
      <w:r w:rsidRPr="007C15F5">
        <w:rPr>
          <w:szCs w:val="24"/>
        </w:rPr>
        <w:t xml:space="preserve">shall not </w:t>
      </w:r>
      <w:r w:rsidRPr="007C15F5">
        <w:t xml:space="preserve">exceed 409 tonnes, the by-catch of </w:t>
      </w:r>
      <w:r w:rsidRPr="007C15F5">
        <w:rPr>
          <w:i/>
          <w:iCs/>
          <w:szCs w:val="24"/>
        </w:rPr>
        <w:t>Macrourus</w:t>
      </w:r>
      <w:r w:rsidRPr="007C15F5">
        <w:rPr>
          <w:i/>
        </w:rPr>
        <w:t xml:space="preserve"> holotrachys</w:t>
      </w:r>
      <w:r w:rsidRPr="007C15F5">
        <w:t xml:space="preserve"> and </w:t>
      </w:r>
      <w:r w:rsidRPr="007C15F5">
        <w:rPr>
          <w:i/>
          <w:iCs/>
          <w:szCs w:val="24"/>
        </w:rPr>
        <w:t>Macrourus</w:t>
      </w:r>
      <w:r w:rsidRPr="007C15F5">
        <w:rPr>
          <w:i/>
        </w:rPr>
        <w:t xml:space="preserve"> carinatus</w:t>
      </w:r>
      <w:r w:rsidRPr="007C15F5">
        <w:t xml:space="preserve"> combined </w:t>
      </w:r>
      <w:r w:rsidRPr="007C15F5">
        <w:rPr>
          <w:szCs w:val="24"/>
        </w:rPr>
        <w:t xml:space="preserve">shall not </w:t>
      </w:r>
      <w:r w:rsidRPr="007C15F5">
        <w:t>exceed 360 tonnes, and the by</w:t>
      </w:r>
      <w:r w:rsidRPr="007C15F5">
        <w:noBreakHyphen/>
        <w:t>catch of skates and rays shall not exceed 120 tonnes. For the purposes of this measure ‘skates and rays’ should be counted as a single species.</w:t>
      </w:r>
    </w:p>
    <w:p w:rsidR="00C44835" w:rsidRPr="007C15F5" w:rsidRDefault="00C44835" w:rsidP="00C44835">
      <w:pPr>
        <w:pStyle w:val="cmnumberedpara"/>
        <w:rPr>
          <w:szCs w:val="24"/>
        </w:rPr>
      </w:pPr>
      <w:r w:rsidRPr="007C15F5">
        <w:rPr>
          <w:szCs w:val="24"/>
        </w:rPr>
        <w:t>3.</w:t>
      </w:r>
      <w:r w:rsidRPr="007C15F5">
        <w:rPr>
          <w:szCs w:val="24"/>
        </w:rPr>
        <w:tab/>
        <w:t xml:space="preserve">The by-catch of any fish species not mentioned in paragraph 2, and for which there is no other catch limit in force, shall not exceed 50 tonnes in Statistical Division 58.5.2. </w:t>
      </w:r>
    </w:p>
    <w:p w:rsidR="00C44835" w:rsidRPr="007C15F5" w:rsidRDefault="00C44835" w:rsidP="00C44835">
      <w:pPr>
        <w:pStyle w:val="cmnumberedpara"/>
      </w:pPr>
      <w:r w:rsidRPr="007C15F5">
        <w:t>4.</w:t>
      </w:r>
      <w:r w:rsidRPr="007C15F5">
        <w:tab/>
        <w:t>If, in the course of a directed fishery, the by-catch in any one haul</w:t>
      </w:r>
      <w:r w:rsidRPr="007C15F5">
        <w:rPr>
          <w:vertAlign w:val="superscript"/>
        </w:rPr>
        <w:t>1</w:t>
      </w:r>
      <w:r w:rsidRPr="007C15F5">
        <w:t xml:space="preserve"> is equal to, or greater than, 5 tonnes for </w:t>
      </w:r>
      <w:r w:rsidRPr="007C15F5">
        <w:rPr>
          <w:i/>
        </w:rPr>
        <w:t>Channichthys rhinoceratus</w:t>
      </w:r>
      <w:r w:rsidRPr="007C15F5">
        <w:t xml:space="preserve">, 3 tonnes for all </w:t>
      </w:r>
      <w:r w:rsidRPr="007C15F5">
        <w:rPr>
          <w:i/>
        </w:rPr>
        <w:t>Macrourus</w:t>
      </w:r>
      <w:r w:rsidRPr="007C15F5">
        <w:rPr>
          <w:iCs/>
        </w:rPr>
        <w:t xml:space="preserve"> spp. combined, or </w:t>
      </w:r>
      <w:r w:rsidRPr="007C15F5">
        <w:t xml:space="preserve">2 tonnes for </w:t>
      </w:r>
      <w:r w:rsidRPr="007C15F5">
        <w:rPr>
          <w:i/>
        </w:rPr>
        <w:t>Lepidonotothen squamifrons</w:t>
      </w:r>
      <w:r w:rsidRPr="007C15F5">
        <w:t xml:space="preserve">, or 2 tonnes of </w:t>
      </w:r>
      <w:proofErr w:type="spellStart"/>
      <w:r w:rsidRPr="007C15F5">
        <w:rPr>
          <w:i/>
        </w:rPr>
        <w:t>Somniosus</w:t>
      </w:r>
      <w:proofErr w:type="spellEnd"/>
      <w:r w:rsidRPr="007C15F5">
        <w:t xml:space="preserve"> spp., </w:t>
      </w:r>
      <w:r w:rsidRPr="007C15F5">
        <w:rPr>
          <w:iCs/>
        </w:rPr>
        <w:t>or 2 tonnes of skates and rays</w:t>
      </w:r>
      <w:r w:rsidRPr="007C15F5">
        <w:t>, then the fishing vessel shall not fish using that method of fishing at any point within 5 n miles</w:t>
      </w:r>
      <w:r w:rsidRPr="007C15F5">
        <w:rPr>
          <w:vertAlign w:val="superscript"/>
        </w:rPr>
        <w:t>2</w:t>
      </w:r>
      <w:r w:rsidRPr="007C15F5">
        <w:t xml:space="preserve"> of the location where the by-catch limit is exceeded for a period of at least five days</w:t>
      </w:r>
      <w:r w:rsidRPr="007C15F5">
        <w:rPr>
          <w:vertAlign w:val="superscript"/>
        </w:rPr>
        <w:t>3</w:t>
      </w:r>
      <w:r w:rsidRPr="007C15F5">
        <w:t>. The location where the by-catch limit is exceeded is defined as the path</w:t>
      </w:r>
      <w:r w:rsidRPr="007C15F5">
        <w:rPr>
          <w:vertAlign w:val="superscript"/>
        </w:rPr>
        <w:t>4</w:t>
      </w:r>
      <w:r w:rsidRPr="007C15F5">
        <w:t xml:space="preserve"> followed by the fishing vessel. </w:t>
      </w:r>
    </w:p>
    <w:p w:rsidR="00C44835" w:rsidRPr="007C15F5" w:rsidRDefault="00C44835" w:rsidP="00C44835">
      <w:pPr>
        <w:pStyle w:val="cmnumberedpara"/>
      </w:pPr>
      <w:r w:rsidRPr="007C15F5">
        <w:t>5.</w:t>
      </w:r>
      <w:r w:rsidRPr="007C15F5">
        <w:tab/>
        <w:t>If, in the course of a directed fishery, the by-catch in any one haul</w:t>
      </w:r>
      <w:r w:rsidRPr="007C15F5">
        <w:rPr>
          <w:vertAlign w:val="superscript"/>
        </w:rPr>
        <w:t>1</w:t>
      </w:r>
      <w:r w:rsidRPr="007C15F5">
        <w:t xml:space="preserve"> of any other by</w:t>
      </w:r>
      <w:r w:rsidRPr="007C15F5">
        <w:noBreakHyphen/>
        <w:t>catch species for which by-catch limitations apply under this conservation measure is equal to, or greater than, 1 tonne, then the fishing vessel shall not fish using that method of fishing at any point within 5 n miles</w:t>
      </w:r>
      <w:r w:rsidRPr="007C15F5">
        <w:rPr>
          <w:vertAlign w:val="superscript"/>
        </w:rPr>
        <w:t>2</w:t>
      </w:r>
      <w:r w:rsidRPr="007C15F5">
        <w:t xml:space="preserve"> of the location where the by-catch exceeded 1 tonne for a period of at least five days</w:t>
      </w:r>
      <w:r w:rsidRPr="007C15F5">
        <w:rPr>
          <w:vertAlign w:val="superscript"/>
        </w:rPr>
        <w:t>3</w:t>
      </w:r>
      <w:r w:rsidRPr="007C15F5">
        <w:t>. The location where the by-catch exceeded 1 tonne is defined as the path</w:t>
      </w:r>
      <w:r w:rsidRPr="007C15F5">
        <w:rPr>
          <w:vertAlign w:val="superscript"/>
        </w:rPr>
        <w:t>4</w:t>
      </w:r>
      <w:r w:rsidRPr="007C15F5">
        <w:t xml:space="preserve"> followed by the fishing vessel. </w:t>
      </w:r>
    </w:p>
    <w:p w:rsidR="00C44835" w:rsidRPr="007C15F5" w:rsidRDefault="00C44835" w:rsidP="00C44835">
      <w:pPr>
        <w:pStyle w:val="cmfootnoteindented"/>
        <w:rPr>
          <w:vertAlign w:val="superscript"/>
        </w:rPr>
      </w:pPr>
      <w:r w:rsidRPr="007C15F5">
        <w:rPr>
          <w:vertAlign w:val="superscript"/>
        </w:rPr>
        <w:t>1</w:t>
      </w:r>
      <w:r w:rsidRPr="007C15F5">
        <w:tab/>
        <w:t xml:space="preserve">For the purposes of this conservation measure, for a longline, each haul applies to a single longline regardless of how contiguous sections of gear are connected. </w:t>
      </w:r>
    </w:p>
    <w:p w:rsidR="00C44835" w:rsidRPr="007C15F5" w:rsidRDefault="00C44835" w:rsidP="00C44835">
      <w:pPr>
        <w:pStyle w:val="cmfootnoteindented"/>
      </w:pPr>
      <w:r w:rsidRPr="007C15F5">
        <w:rPr>
          <w:vertAlign w:val="superscript"/>
        </w:rPr>
        <w:t>2</w:t>
      </w:r>
      <w:r w:rsidRPr="007C15F5">
        <w:tab/>
        <w:t>This provision concerning the minimum distance separating fishing locations is adopted pending the adoption of a more appropriate definition of a fishing location by the Commission.</w:t>
      </w:r>
    </w:p>
    <w:p w:rsidR="00C44835" w:rsidRPr="007C15F5" w:rsidRDefault="00C44835" w:rsidP="00C44835">
      <w:pPr>
        <w:pStyle w:val="cmfootnoteindented"/>
      </w:pPr>
      <w:r w:rsidRPr="007C15F5">
        <w:rPr>
          <w:vertAlign w:val="superscript"/>
        </w:rPr>
        <w:t>3</w:t>
      </w:r>
      <w:r w:rsidRPr="007C15F5">
        <w:tab/>
        <w:t>The specified period is adopted in accordance with the reporting period specified in Conservation Measure 23-01, pending the adoption of a more appropriate period by the Commission.</w:t>
      </w:r>
    </w:p>
    <w:p w:rsidR="00293928" w:rsidRPr="00CC39F5" w:rsidRDefault="00C44835" w:rsidP="0064156A">
      <w:pPr>
        <w:pStyle w:val="cmfootnoteindented"/>
        <w:spacing w:after="720"/>
        <w:ind w:left="839" w:hanging="278"/>
      </w:pPr>
      <w:r w:rsidRPr="007C15F5">
        <w:rPr>
          <w:vertAlign w:val="superscript"/>
        </w:rPr>
        <w:t>4</w:t>
      </w:r>
      <w:r w:rsidRPr="007C15F5">
        <w:tab/>
        <w:t>For a trawl, the path is defined from the point at which the fishing gear was first deployed from the fishing vessel to the point at which the fishing gear was retrieved by the fishing vessel. For a longline or a pot line, the path is defined from the point at which the first anchor of a set was deployed to the point at which the last anchor of that set was deployed</w:t>
      </w:r>
      <w:r w:rsidR="00390654">
        <w:t>.</w:t>
      </w:r>
    </w:p>
    <w:sectPr w:rsidR="00293928" w:rsidRPr="00CC39F5" w:rsidSect="00243BF1">
      <w:headerReference w:type="default" r:id="rId8"/>
      <w:footerReference w:type="even"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760" w:rsidRDefault="00966760">
      <w:r>
        <w:separator/>
      </w:r>
    </w:p>
  </w:endnote>
  <w:endnote w:type="continuationSeparator" w:id="0">
    <w:p w:rsidR="00966760" w:rsidRDefault="0096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81A" w:rsidRDefault="0058281A">
    <w:pPr>
      <w:pStyle w:val="evenfooter"/>
    </w:pPr>
    <w:r>
      <w:fldChar w:fldCharType="begin"/>
    </w:r>
    <w:r>
      <w:instrText xml:space="preserve">PAGE  </w:instrText>
    </w:r>
    <w:r>
      <w:fldChar w:fldCharType="separate"/>
    </w:r>
    <w:r w:rsidR="00CC5D8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760" w:rsidRDefault="00966760">
      <w:r>
        <w:separator/>
      </w:r>
    </w:p>
  </w:footnote>
  <w:footnote w:type="continuationSeparator" w:id="0">
    <w:p w:rsidR="00966760" w:rsidRDefault="00966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A53" w:rsidRDefault="00C44835" w:rsidP="00243BF1">
    <w:pPr>
      <w:pStyle w:val="evenheader"/>
      <w:jc w:val="right"/>
    </w:pPr>
    <w:r>
      <w:t>33-02</w:t>
    </w:r>
  </w:p>
  <w:p w:rsidR="009E770F" w:rsidDel="00D4299A" w:rsidRDefault="009E770F" w:rsidP="00D4299A">
    <w:pPr>
      <w:pStyle w:val="evenheader"/>
      <w:jc w:val="right"/>
      <w:rPr>
        <w:del w:id="23" w:author="Doro Forck" w:date="2019-11-05T15:13:00Z"/>
      </w:rPr>
    </w:pPr>
    <w:del w:id="24" w:author="Doro Forck" w:date="2019-11-05T15:13:00Z">
      <w:r w:rsidDel="00D4299A">
        <w:delText>v0</w:delText>
      </w:r>
    </w:del>
    <w:ins w:id="25" w:author="Stephane Thanassekos" w:date="2019-10-29T17:16:00Z">
      <w:del w:id="26" w:author="Doro Forck" w:date="2019-11-05T15:13:00Z">
        <w:r w:rsidR="00E92E37" w:rsidDel="00D4299A">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ane Thanassekos">
    <w15:presenceInfo w15:providerId="AD" w15:userId="S::stephane.thanassekos@ccamlr.org::93e0deb8-f5d4-4582-9c97-92088301d4c6"/>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09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35"/>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72959"/>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BF1"/>
    <w:rsid w:val="00243D23"/>
    <w:rsid w:val="0026596F"/>
    <w:rsid w:val="00265ED0"/>
    <w:rsid w:val="00276DC0"/>
    <w:rsid w:val="00285BBB"/>
    <w:rsid w:val="00290416"/>
    <w:rsid w:val="00293928"/>
    <w:rsid w:val="002A55DA"/>
    <w:rsid w:val="002B13B1"/>
    <w:rsid w:val="002C48C3"/>
    <w:rsid w:val="002E3416"/>
    <w:rsid w:val="002F5D01"/>
    <w:rsid w:val="003003F8"/>
    <w:rsid w:val="00302BA1"/>
    <w:rsid w:val="00312138"/>
    <w:rsid w:val="00316BF6"/>
    <w:rsid w:val="0033097C"/>
    <w:rsid w:val="00331BA1"/>
    <w:rsid w:val="003367E9"/>
    <w:rsid w:val="00346298"/>
    <w:rsid w:val="00346FCD"/>
    <w:rsid w:val="00354CC4"/>
    <w:rsid w:val="00366DB9"/>
    <w:rsid w:val="00373D49"/>
    <w:rsid w:val="0037602C"/>
    <w:rsid w:val="00390654"/>
    <w:rsid w:val="00390AEF"/>
    <w:rsid w:val="00393B9E"/>
    <w:rsid w:val="003A18B9"/>
    <w:rsid w:val="003A5FF0"/>
    <w:rsid w:val="003B3FC7"/>
    <w:rsid w:val="003B7DA5"/>
    <w:rsid w:val="003C26A7"/>
    <w:rsid w:val="003C34B4"/>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38E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3C18"/>
    <w:rsid w:val="00603D9C"/>
    <w:rsid w:val="00605CD9"/>
    <w:rsid w:val="0060642C"/>
    <w:rsid w:val="00621841"/>
    <w:rsid w:val="00625F1E"/>
    <w:rsid w:val="00634821"/>
    <w:rsid w:val="0064156A"/>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47CBF"/>
    <w:rsid w:val="0077140B"/>
    <w:rsid w:val="00797ECB"/>
    <w:rsid w:val="007A457A"/>
    <w:rsid w:val="007A6AC5"/>
    <w:rsid w:val="007B07B2"/>
    <w:rsid w:val="007B35EB"/>
    <w:rsid w:val="007F09CD"/>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926FE"/>
    <w:rsid w:val="008B07C9"/>
    <w:rsid w:val="008B157C"/>
    <w:rsid w:val="008B415E"/>
    <w:rsid w:val="008D2132"/>
    <w:rsid w:val="008D52D3"/>
    <w:rsid w:val="008D55A0"/>
    <w:rsid w:val="008E23D2"/>
    <w:rsid w:val="008E7591"/>
    <w:rsid w:val="00910A8C"/>
    <w:rsid w:val="00916059"/>
    <w:rsid w:val="00920A43"/>
    <w:rsid w:val="00930FA7"/>
    <w:rsid w:val="009319D6"/>
    <w:rsid w:val="0093261B"/>
    <w:rsid w:val="00933AB7"/>
    <w:rsid w:val="009518B0"/>
    <w:rsid w:val="00964CE4"/>
    <w:rsid w:val="00966760"/>
    <w:rsid w:val="0097121C"/>
    <w:rsid w:val="00971375"/>
    <w:rsid w:val="00981E0B"/>
    <w:rsid w:val="0098365B"/>
    <w:rsid w:val="00984C67"/>
    <w:rsid w:val="009860E5"/>
    <w:rsid w:val="00994F0C"/>
    <w:rsid w:val="0099516C"/>
    <w:rsid w:val="00996C55"/>
    <w:rsid w:val="009A6941"/>
    <w:rsid w:val="009B4669"/>
    <w:rsid w:val="009B7118"/>
    <w:rsid w:val="009C0EC7"/>
    <w:rsid w:val="009C1A0F"/>
    <w:rsid w:val="009D4AC8"/>
    <w:rsid w:val="009E6510"/>
    <w:rsid w:val="009E770F"/>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D79C6"/>
    <w:rsid w:val="00AF76A0"/>
    <w:rsid w:val="00B0045F"/>
    <w:rsid w:val="00B01192"/>
    <w:rsid w:val="00B04AF7"/>
    <w:rsid w:val="00B05474"/>
    <w:rsid w:val="00B1169C"/>
    <w:rsid w:val="00B22A80"/>
    <w:rsid w:val="00B24522"/>
    <w:rsid w:val="00B25995"/>
    <w:rsid w:val="00B347AA"/>
    <w:rsid w:val="00B40DB7"/>
    <w:rsid w:val="00B736D6"/>
    <w:rsid w:val="00B738C5"/>
    <w:rsid w:val="00B87105"/>
    <w:rsid w:val="00B90C87"/>
    <w:rsid w:val="00BA04BA"/>
    <w:rsid w:val="00BA450C"/>
    <w:rsid w:val="00BB28EA"/>
    <w:rsid w:val="00BC1DAF"/>
    <w:rsid w:val="00BD1298"/>
    <w:rsid w:val="00BD257F"/>
    <w:rsid w:val="00BD3E51"/>
    <w:rsid w:val="00BE33AB"/>
    <w:rsid w:val="00C002BA"/>
    <w:rsid w:val="00C06115"/>
    <w:rsid w:val="00C07CA7"/>
    <w:rsid w:val="00C15F16"/>
    <w:rsid w:val="00C22098"/>
    <w:rsid w:val="00C32118"/>
    <w:rsid w:val="00C35C40"/>
    <w:rsid w:val="00C36C0D"/>
    <w:rsid w:val="00C37F3D"/>
    <w:rsid w:val="00C44835"/>
    <w:rsid w:val="00C5014E"/>
    <w:rsid w:val="00C7150E"/>
    <w:rsid w:val="00C87975"/>
    <w:rsid w:val="00C97620"/>
    <w:rsid w:val="00CA5C48"/>
    <w:rsid w:val="00CA7278"/>
    <w:rsid w:val="00CB591C"/>
    <w:rsid w:val="00CC011E"/>
    <w:rsid w:val="00CC27D2"/>
    <w:rsid w:val="00CC39F5"/>
    <w:rsid w:val="00CC426D"/>
    <w:rsid w:val="00CC5D8A"/>
    <w:rsid w:val="00CC7D29"/>
    <w:rsid w:val="00CD30C4"/>
    <w:rsid w:val="00CE0217"/>
    <w:rsid w:val="00CE0C2B"/>
    <w:rsid w:val="00CE1A5E"/>
    <w:rsid w:val="00CE3143"/>
    <w:rsid w:val="00CF2351"/>
    <w:rsid w:val="00CF3BB0"/>
    <w:rsid w:val="00CF7698"/>
    <w:rsid w:val="00D339A3"/>
    <w:rsid w:val="00D36AE8"/>
    <w:rsid w:val="00D4299A"/>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14FAB"/>
    <w:rsid w:val="00E306CE"/>
    <w:rsid w:val="00E34026"/>
    <w:rsid w:val="00E36A5B"/>
    <w:rsid w:val="00E545F3"/>
    <w:rsid w:val="00E63914"/>
    <w:rsid w:val="00E70990"/>
    <w:rsid w:val="00E755A7"/>
    <w:rsid w:val="00E8133A"/>
    <w:rsid w:val="00E81577"/>
    <w:rsid w:val="00E92E3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43611"/>
    <w:rsid w:val="00F57579"/>
    <w:rsid w:val="00F619BA"/>
    <w:rsid w:val="00F66DFC"/>
    <w:rsid w:val="00F73627"/>
    <w:rsid w:val="00F75F7B"/>
    <w:rsid w:val="00F77768"/>
    <w:rsid w:val="00F86663"/>
    <w:rsid w:val="00F9150B"/>
    <w:rsid w:val="00F92982"/>
    <w:rsid w:val="00FA0A26"/>
    <w:rsid w:val="00FA4144"/>
    <w:rsid w:val="00FA6A53"/>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4e4e4,#ddd,silver,#b9b9b9"/>
    </o:shapedefaults>
    <o:shapelayout v:ext="edit">
      <o:idmap v:ext="edit" data="1"/>
    </o:shapelayout>
  </w:shapeDefaults>
  <w:decimalSymbol w:val="."/>
  <w:listSeparator w:val=","/>
  <w15:docId w15:val="{A11DD7E3-3520-4FD9-BC2E-D402785E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C44835"/>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F814A-3EFF-41BD-9EE7-87685E8DD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1</Pages>
  <Words>523</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8</cp:revision>
  <cp:lastPrinted>2016-11-14T00:48:00Z</cp:lastPrinted>
  <dcterms:created xsi:type="dcterms:W3CDTF">2018-11-13T23:10:00Z</dcterms:created>
  <dcterms:modified xsi:type="dcterms:W3CDTF">2019-11-05T04:13:00Z</dcterms:modified>
</cp:coreProperties>
</file>