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237C8" w14:textId="77777777" w:rsidR="003D32A1" w:rsidRPr="00041A6F" w:rsidRDefault="003D32A1">
      <w:pPr>
        <w:rPr>
          <w:b/>
          <w:sz w:val="18"/>
          <w:szCs w:val="28"/>
        </w:rPr>
      </w:pPr>
      <w:r w:rsidRPr="00041A6F">
        <w:rPr>
          <w:b/>
          <w:noProof/>
          <w:sz w:val="18"/>
        </w:rPr>
        <w:drawing>
          <wp:anchor distT="0" distB="0" distL="114300" distR="114300" simplePos="0" relativeHeight="251664384" behindDoc="0" locked="0" layoutInCell="1" allowOverlap="1" wp14:anchorId="7E153F45" wp14:editId="10292824">
            <wp:simplePos x="0" y="0"/>
            <wp:positionH relativeFrom="margin">
              <wp:posOffset>0</wp:posOffset>
            </wp:positionH>
            <wp:positionV relativeFrom="paragraph">
              <wp:posOffset>247650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p>
    <w:p w14:paraId="63A2A6D5" w14:textId="24D5B8CA" w:rsidR="009C5C17" w:rsidRDefault="003D32A1">
      <w:pPr>
        <w:rPr>
          <w:b/>
          <w:sz w:val="28"/>
        </w:rPr>
      </w:pPr>
      <w:r w:rsidRPr="00B21EAA">
        <w:rPr>
          <w:b/>
          <w:sz w:val="28"/>
        </w:rPr>
        <w:t>Carnet 20</w:t>
      </w:r>
      <w:r w:rsidR="00D92E6F">
        <w:rPr>
          <w:b/>
          <w:sz w:val="28"/>
        </w:rPr>
        <w:t>2</w:t>
      </w:r>
      <w:r w:rsidR="004B2B35">
        <w:rPr>
          <w:b/>
          <w:sz w:val="28"/>
        </w:rPr>
        <w:t>3</w:t>
      </w:r>
      <w:r w:rsidRPr="00B21EAA">
        <w:rPr>
          <w:b/>
          <w:sz w:val="28"/>
        </w:rPr>
        <w:t xml:space="preserve"> de l'observateur</w:t>
      </w:r>
      <w:r w:rsidR="00DD2989" w:rsidRPr="00B21EAA">
        <w:rPr>
          <w:b/>
          <w:sz w:val="28"/>
        </w:rPr>
        <w:t xml:space="preserve"> de la pêche au krill par chalu</w:t>
      </w:r>
      <w:r w:rsidRPr="00B21EAA">
        <w:rPr>
          <w:b/>
          <w:sz w:val="28"/>
        </w:rPr>
        <w:t>tage – Instructions</w:t>
      </w:r>
    </w:p>
    <w:p w14:paraId="6641BA22" w14:textId="58113027" w:rsidR="00D92E6F" w:rsidRPr="00B21EAA" w:rsidRDefault="00D92E6F">
      <w:pPr>
        <w:rPr>
          <w:b/>
          <w:sz w:val="28"/>
          <w:szCs w:val="28"/>
        </w:rPr>
      </w:pPr>
      <w:r>
        <w:rPr>
          <w:b/>
          <w:sz w:val="28"/>
        </w:rPr>
        <w:tab/>
      </w:r>
      <w:r>
        <w:rPr>
          <w:b/>
          <w:sz w:val="28"/>
        </w:rPr>
        <w:tab/>
      </w:r>
      <w:r>
        <w:rPr>
          <w:b/>
          <w:sz w:val="28"/>
        </w:rPr>
        <w:tab/>
      </w:r>
      <w:r>
        <w:rPr>
          <w:b/>
          <w:sz w:val="28"/>
        </w:rPr>
        <w:tab/>
      </w:r>
      <w:r>
        <w:rPr>
          <w:b/>
          <w:sz w:val="28"/>
          <w:szCs w:val="28"/>
        </w:rPr>
        <w:t>V</w:t>
      </w:r>
      <w:r w:rsidRPr="00DE3169">
        <w:rPr>
          <w:b/>
          <w:sz w:val="28"/>
          <w:szCs w:val="28"/>
        </w:rPr>
        <w:t>ersion du document</w:t>
      </w:r>
      <w:r>
        <w:rPr>
          <w:b/>
          <w:sz w:val="28"/>
          <w:szCs w:val="28"/>
        </w:rPr>
        <w:t> : OKv202</w:t>
      </w:r>
      <w:r w:rsidR="004B2B35">
        <w:rPr>
          <w:b/>
          <w:sz w:val="28"/>
          <w:szCs w:val="28"/>
        </w:rPr>
        <w:t>3</w:t>
      </w:r>
      <w:r>
        <w:rPr>
          <w:b/>
          <w:sz w:val="28"/>
        </w:rPr>
        <w:t xml:space="preserve"> </w:t>
      </w:r>
    </w:p>
    <w:p w14:paraId="71E7158A" w14:textId="77777777" w:rsidR="003D32A1" w:rsidRPr="00B21EAA" w:rsidRDefault="003D32A1" w:rsidP="003D32A1">
      <w:pPr>
        <w:shd w:val="clear" w:color="auto" w:fill="BFBFBF" w:themeFill="background1" w:themeFillShade="BF"/>
        <w:jc w:val="both"/>
        <w:rPr>
          <w:b/>
          <w:sz w:val="24"/>
          <w:szCs w:val="24"/>
        </w:rPr>
      </w:pPr>
      <w:r w:rsidRPr="00B21EAA">
        <w:rPr>
          <w:b/>
          <w:sz w:val="24"/>
        </w:rPr>
        <w:t>Introduction</w:t>
      </w:r>
    </w:p>
    <w:p w14:paraId="49323902" w14:textId="5E0A0EB3" w:rsidR="003D32A1" w:rsidRPr="00B21EAA" w:rsidRDefault="003D32A1" w:rsidP="009D625D">
      <w:pPr>
        <w:jc w:val="both"/>
      </w:pPr>
      <w:r w:rsidRPr="00B21EAA">
        <w:t>Les instructions suivantes couvrent la version 20</w:t>
      </w:r>
      <w:r w:rsidR="00D92E6F">
        <w:t>2</w:t>
      </w:r>
      <w:r w:rsidR="004B2B35">
        <w:t>3</w:t>
      </w:r>
      <w:r w:rsidRPr="00B21EAA">
        <w:t xml:space="preserve"> du carnet de l'observateur de la </w:t>
      </w:r>
      <w:r w:rsidR="00B21EAA" w:rsidRPr="00B21EAA">
        <w:t>pêche</w:t>
      </w:r>
      <w:r w:rsidRPr="00B21EAA">
        <w:t xml:space="preserve"> au krill par chalu</w:t>
      </w:r>
      <w:r w:rsidR="00DD2989" w:rsidRPr="00B21EAA">
        <w:t>t</w:t>
      </w:r>
      <w:r w:rsidRPr="00B21EAA">
        <w:t xml:space="preserve">age du Système international d'observation scientifique de la CCAMLR (SISO), une série de fiches Excel que les observateurs du SISO sont tenus de </w:t>
      </w:r>
      <w:r w:rsidR="005C08EE">
        <w:t>remplir</w:t>
      </w:r>
      <w:r w:rsidRPr="00B21EAA">
        <w:t>. Même si vous êtes familiarisé avec les carnets Excel de la CCAMLR, veuillez prendre le temps de lire ces instructions car le format et le contenu du carnet de l'observateur des chaluts ont considérablement changé par rapport aux versions précédentes. Les remarques générales qui s'appliquent à l'ensemble du carnet sont les suivantes :</w:t>
      </w:r>
    </w:p>
    <w:p w14:paraId="26C1CE88" w14:textId="77777777" w:rsidR="003D32A1" w:rsidRPr="00B21EAA" w:rsidRDefault="003D32A1" w:rsidP="009D625D">
      <w:pPr>
        <w:pStyle w:val="ListParagraph"/>
        <w:numPr>
          <w:ilvl w:val="0"/>
          <w:numId w:val="10"/>
        </w:numPr>
        <w:spacing w:after="160" w:line="259" w:lineRule="auto"/>
        <w:ind w:left="567" w:hanging="425"/>
        <w:jc w:val="both"/>
      </w:pPr>
      <w:r w:rsidRPr="00B21EAA">
        <w:t>Seules les cases sur fond blanc peuvent être remplies. Toutes les autres parties du carnet sont bloquées et ne peuvent donc être modifiées. Il est possible de remplir vers le bas des</w:t>
      </w:r>
      <w:r w:rsidR="00395863" w:rsidRPr="00B21EAA">
        <w:t xml:space="preserve"> champs de données lorsqu'elles </w:t>
      </w:r>
      <w:r w:rsidRPr="00B21EAA">
        <w:t xml:space="preserve">sont répétées (par exemple, le numéro de </w:t>
      </w:r>
      <w:r w:rsidR="00395863" w:rsidRPr="00B21EAA">
        <w:t>pose</w:t>
      </w:r>
      <w:r w:rsidRPr="00B21EAA">
        <w:t xml:space="preserve"> pour chaque enregistrement d'une espèce des captures accessoires).</w:t>
      </w:r>
    </w:p>
    <w:p w14:paraId="741CF1D9" w14:textId="77777777" w:rsidR="003D32A1" w:rsidRPr="00B21EAA" w:rsidRDefault="003D32A1" w:rsidP="009D625D">
      <w:pPr>
        <w:pStyle w:val="ListParagraph"/>
        <w:numPr>
          <w:ilvl w:val="0"/>
          <w:numId w:val="10"/>
        </w:numPr>
        <w:spacing w:after="160" w:line="259" w:lineRule="auto"/>
        <w:ind w:left="567" w:hanging="425"/>
        <w:jc w:val="both"/>
      </w:pPr>
      <w:r w:rsidRPr="00B21EAA">
        <w:t>De nombreuses validations des données et restrictions de format ont été appliquées aux champs de données. Par exemple, le champ Identifiant de la pose qui figure dans plusieurs carnet</w:t>
      </w:r>
      <w:r w:rsidR="00395863" w:rsidRPr="00B21EAA">
        <w:t>s</w:t>
      </w:r>
      <w:r w:rsidRPr="00B21EAA">
        <w:t xml:space="preserve"> n'accepte que les nombres entiers, et la date et l'heure doivent être saisis dans le format spécifié. Si le type de donnée est incorrect, un message d'erreur s'affiche indiquant la raison pour laquelle la valeur ne peut être saisie.</w:t>
      </w:r>
    </w:p>
    <w:p w14:paraId="157705C0" w14:textId="77777777" w:rsidR="003D32A1" w:rsidRPr="00B21EAA" w:rsidRDefault="003D32A1" w:rsidP="009D625D">
      <w:pPr>
        <w:pStyle w:val="ListParagraph"/>
        <w:numPr>
          <w:ilvl w:val="0"/>
          <w:numId w:val="10"/>
        </w:numPr>
        <w:spacing w:after="160" w:line="259" w:lineRule="auto"/>
        <w:ind w:left="567" w:hanging="425"/>
        <w:jc w:val="both"/>
      </w:pPr>
      <w:r w:rsidRPr="00B21EAA">
        <w:t>Dans de nombreux champs, les observateurs choisissent le cas applicable au champ de données dans une liste de descriptions prédéfinies. Sont ainsi remplacés les codes lettre ou chiffre qui étaient utilisés dans les anciennes versions. L'utilisation du carnet de l'observateur est ainsi beaucoup plus simple.</w:t>
      </w:r>
    </w:p>
    <w:p w14:paraId="12244A3B" w14:textId="77777777" w:rsidR="003D32A1" w:rsidRPr="00B21EAA" w:rsidRDefault="003D32A1" w:rsidP="009D625D">
      <w:pPr>
        <w:pStyle w:val="ListParagraph"/>
        <w:numPr>
          <w:ilvl w:val="0"/>
          <w:numId w:val="10"/>
        </w:numPr>
        <w:spacing w:after="160" w:line="259" w:lineRule="auto"/>
        <w:ind w:left="567" w:hanging="425"/>
        <w:jc w:val="both"/>
      </w:pPr>
      <w:r w:rsidRPr="00B21EAA">
        <w:t>Les champs Commentaires ont été supprimés pour que le carnet ne contienne qu'un minimum de données non structurées. Si vous souhaitez faire des remarques, il suffit dans la plupart des cas de cliquer sur l'option qui renvoie au compte rendu de campagne, dans lequel vous pouvez décrire le problème en détail et inclure, le cas échéant, des photos ou des schémas.</w:t>
      </w:r>
    </w:p>
    <w:p w14:paraId="154064BF" w14:textId="77777777" w:rsidR="003D32A1" w:rsidRPr="00B21EAA" w:rsidRDefault="003D32A1" w:rsidP="009D625D">
      <w:pPr>
        <w:pStyle w:val="ListParagraph"/>
        <w:numPr>
          <w:ilvl w:val="0"/>
          <w:numId w:val="10"/>
        </w:numPr>
        <w:spacing w:after="160" w:line="259" w:lineRule="auto"/>
        <w:ind w:left="567" w:hanging="425"/>
        <w:jc w:val="both"/>
      </w:pPr>
      <w:r w:rsidRPr="00B21EAA">
        <w:t>Pour les codes d'espèces et de traitement, des listes déroulantes ont été insérées en haut de la fiche. Ces cases sont sur fond vert clair.</w:t>
      </w:r>
    </w:p>
    <w:p w14:paraId="6265A669" w14:textId="77777777" w:rsidR="003D32A1" w:rsidRPr="00B21EAA" w:rsidRDefault="003D32A1" w:rsidP="009D625D">
      <w:pPr>
        <w:jc w:val="both"/>
      </w:pPr>
      <w:r w:rsidRPr="00B21EAA">
        <w:t xml:space="preserve">Outre ces instructions, vous pouvez consulter une liste détaillée des ressources disponibles pour les observateurs sur la page d'information de l'observateur de la CCAMLR : </w:t>
      </w:r>
      <w:hyperlink r:id="rId8" w:history="1">
        <w:r w:rsidRPr="00B21EAA">
          <w:rPr>
            <w:rStyle w:val="Hyperlink"/>
          </w:rPr>
          <w:t>www.ccamlr.org/node/77322</w:t>
        </w:r>
      </w:hyperlink>
      <w:r w:rsidRPr="00B21EAA">
        <w:t>. On y trouve en particulier le guide des espèces de poissons communes dans les captures accessoires (</w:t>
      </w:r>
      <w:hyperlink r:id="rId9" w:history="1">
        <w:r w:rsidRPr="00B21EAA">
          <w:rPr>
            <w:rStyle w:val="Hyperlink"/>
          </w:rPr>
          <w:t>www.ccamlr.org/node/86217</w:t>
        </w:r>
      </w:hyperlink>
      <w:r w:rsidRPr="00B21EAA">
        <w:t xml:space="preserve">) qu'il convient de télécharger à titre de référence s'il ne vous </w:t>
      </w:r>
      <w:r w:rsidR="006D3075" w:rsidRPr="00B21EAA">
        <w:t>a</w:t>
      </w:r>
      <w:r w:rsidRPr="00B21EAA">
        <w:t xml:space="preserve"> pas déjà été transmis par votre coordinateur technique.  </w:t>
      </w:r>
    </w:p>
    <w:p w14:paraId="70ADFEBB" w14:textId="77777777" w:rsidR="00FC09E3" w:rsidRPr="00B21EAA" w:rsidRDefault="00795F4A" w:rsidP="008B0053">
      <w:pPr>
        <w:shd w:val="clear" w:color="auto" w:fill="BFBFBF" w:themeFill="background1" w:themeFillShade="BF"/>
        <w:jc w:val="both"/>
        <w:rPr>
          <w:b/>
          <w:sz w:val="24"/>
          <w:szCs w:val="24"/>
        </w:rPr>
      </w:pPr>
      <w:r w:rsidRPr="00B21EAA">
        <w:rPr>
          <w:b/>
          <w:sz w:val="24"/>
        </w:rPr>
        <w:t>Formulaire</w:t>
      </w:r>
      <w:r w:rsidRPr="00B21EAA">
        <w:rPr>
          <w:sz w:val="24"/>
        </w:rPr>
        <w:t xml:space="preserve"> </w:t>
      </w:r>
      <w:r w:rsidRPr="00B21EAA">
        <w:rPr>
          <w:rFonts w:cstheme="minorHAnsi"/>
          <w:b/>
          <w:sz w:val="24"/>
        </w:rPr>
        <w:t>–</w:t>
      </w:r>
      <w:r w:rsidRPr="00B21EAA">
        <w:rPr>
          <w:sz w:val="24"/>
        </w:rPr>
        <w:t xml:space="preserve"> </w:t>
      </w:r>
      <w:r w:rsidRPr="00B21EAA">
        <w:rPr>
          <w:b/>
          <w:sz w:val="24"/>
        </w:rPr>
        <w:t>Navire et engins de pêche</w:t>
      </w:r>
    </w:p>
    <w:p w14:paraId="5E123E0C" w14:textId="77777777" w:rsidR="003D32A1" w:rsidRPr="00B21EAA" w:rsidRDefault="003D32A1" w:rsidP="003D1295">
      <w:pPr>
        <w:spacing w:line="259" w:lineRule="auto"/>
        <w:jc w:val="both"/>
        <w:rPr>
          <w:u w:val="single"/>
        </w:rPr>
      </w:pPr>
      <w:r w:rsidRPr="00B21EAA">
        <w:rPr>
          <w:u w:val="single"/>
        </w:rPr>
        <w:t xml:space="preserve">Informations sur le navire et l'observateur : </w:t>
      </w:r>
      <w:r w:rsidR="00816EB0" w:rsidRPr="00816EB0">
        <w:t xml:space="preserve"> Pour remplir les informations sur le navire, veuillez saisir le numéro OMI du navire. Si ce numéro figure dans la liste des navires, le nom du navire et l'indicatif d'appel s'afficheront automatiquement. Si le numéro OMI n'est pas reconnu, veuillez entrer le nom du navire et l'indicatif d'appel dans les cases correspondantes.</w:t>
      </w:r>
    </w:p>
    <w:p w14:paraId="7CE344C5" w14:textId="77777777" w:rsidR="00FC09E3" w:rsidRPr="00B21EAA" w:rsidRDefault="003D32A1" w:rsidP="009D625D">
      <w:pPr>
        <w:jc w:val="both"/>
      </w:pPr>
      <w:r w:rsidRPr="00B21EAA">
        <w:rPr>
          <w:u w:val="single"/>
        </w:rPr>
        <w:lastRenderedPageBreak/>
        <w:t xml:space="preserve">Informations sur les activités de pêche : </w:t>
      </w:r>
      <w:r w:rsidRPr="00B21EAA">
        <w:t xml:space="preserve">Sur notification de votre coordinateur indiquant votre prochaine campagne CCAMLR, le secrétariat ou votre coordinateur technique peut fournir une copie des informations sur </w:t>
      </w:r>
      <w:proofErr w:type="gramStart"/>
      <w:r w:rsidRPr="00B21EAA">
        <w:t>le navire contenues</w:t>
      </w:r>
      <w:proofErr w:type="gramEnd"/>
      <w:r w:rsidRPr="00B21EAA">
        <w:t xml:space="preserve"> dans la notification, à savoir le type et les caractéristiques des engins de pêche (il suffit d'avoir un compte CCAMLR pour consulter ici les informations sur le navire : </w:t>
      </w:r>
      <w:hyperlink r:id="rId10" w:history="1">
        <w:r w:rsidRPr="00B21EAA">
          <w:rPr>
            <w:rStyle w:val="Hyperlink"/>
          </w:rPr>
          <w:t>www.ccamlr.org/node/75724</w:t>
        </w:r>
      </w:hyperlink>
      <w:r w:rsidRPr="00B21EAA">
        <w:t>). Une fois à bord du navire, veuillez vérifier que ces informations sont correctes. S'il existe des différences de type d'engin ou de configuration, veuillez les décrire dans le compte rendu de campagne. Fournir</w:t>
      </w:r>
      <w:r w:rsidR="00395863" w:rsidRPr="00B21EAA">
        <w:t>, comme cela est ind</w:t>
      </w:r>
      <w:r w:rsidRPr="00B21EAA">
        <w:t>iqué</w:t>
      </w:r>
      <w:r w:rsidR="00395863" w:rsidRPr="00B21EAA">
        <w:t>,</w:t>
      </w:r>
      <w:r w:rsidRPr="00B21EAA">
        <w:t xml:space="preserve"> des informations sur les câbles de contrôle, les rejets de déchets d'usine et le nettoyage des filets.</w:t>
      </w:r>
    </w:p>
    <w:p w14:paraId="35D247C8" w14:textId="77777777" w:rsidR="003D32A1" w:rsidRPr="00B21EAA" w:rsidRDefault="003D32A1" w:rsidP="003D32A1">
      <w:pPr>
        <w:shd w:val="clear" w:color="auto" w:fill="BFBFBF" w:themeFill="background1" w:themeFillShade="BF"/>
        <w:jc w:val="both"/>
        <w:rPr>
          <w:b/>
          <w:sz w:val="24"/>
          <w:szCs w:val="24"/>
        </w:rPr>
      </w:pPr>
      <w:r w:rsidRPr="00B21EAA">
        <w:rPr>
          <w:b/>
          <w:sz w:val="24"/>
        </w:rPr>
        <w:t>Formulaire – Informations sur le filage et le virage</w:t>
      </w:r>
    </w:p>
    <w:p w14:paraId="5F189434" w14:textId="77777777" w:rsidR="003D32A1" w:rsidRPr="00B21EAA" w:rsidRDefault="003D32A1" w:rsidP="003D32A1">
      <w:pPr>
        <w:jc w:val="both"/>
      </w:pPr>
      <w:r w:rsidRPr="00B21EAA">
        <w:t xml:space="preserve">Cette fiche contient des informations sur chaque </w:t>
      </w:r>
      <w:r w:rsidR="00D361EC" w:rsidRPr="00B21EAA">
        <w:t>filage et virage</w:t>
      </w:r>
      <w:r w:rsidRPr="00B21EAA">
        <w:t xml:space="preserve"> se déroulant durant votre campagne. Le champ Identifiant </w:t>
      </w:r>
      <w:r w:rsidR="006D3075" w:rsidRPr="00B21EAA">
        <w:t>filage/v</w:t>
      </w:r>
      <w:r w:rsidRPr="00B21EAA">
        <w:t xml:space="preserve">irage (qui figure également sur d'autres fiches en tant qu'Identifiant </w:t>
      </w:r>
      <w:r w:rsidR="00D361EC" w:rsidRPr="00B21EAA">
        <w:t>virage</w:t>
      </w:r>
      <w:r w:rsidRPr="00B21EAA">
        <w:t xml:space="preserve">) devrait être un numéro unique, consécutif, correspondant à l'identifiant de la pose utilisé par le navire pour ses fiches de données commerciales. Veuillez compléter tous les détails concernant les </w:t>
      </w:r>
      <w:r w:rsidR="00D361EC" w:rsidRPr="00B21EAA">
        <w:t>traits effectué</w:t>
      </w:r>
      <w:r w:rsidRPr="00B21EAA">
        <w:t xml:space="preserve">s durant votre campagne, même si vous n'effectuez pas d'observation de captures, de captures accessoires ou d'autres observations pendant l'opération de pêche. </w:t>
      </w:r>
      <w:r w:rsidR="005C08EE">
        <w:t>Remplir</w:t>
      </w:r>
      <w:r w:rsidRPr="00B21EAA">
        <w:t xml:space="preserve"> tous les autres champs le cas échéant, pour certains en sélectionnant une option dans les menus déroulants. </w:t>
      </w:r>
      <w:r w:rsidR="00B21EAA" w:rsidRPr="00B21EAA">
        <w:t>Le champ</w:t>
      </w:r>
      <w:r w:rsidRPr="00B21EAA">
        <w:t xml:space="preserve"> sur la présence de salpes dans l'échantillon de capture est </w:t>
      </w:r>
      <w:r w:rsidR="00B21EAA" w:rsidRPr="00B21EAA">
        <w:t>un nouveau champ</w:t>
      </w:r>
      <w:r w:rsidRPr="00B21EAA">
        <w:t xml:space="preserve">. Veuillez sélectionner l'option qui convient en fonction de l'observation de vos échantillons de captures accessoires, sinon </w:t>
      </w:r>
      <w:r w:rsidR="006D3075" w:rsidRPr="00B21EAA">
        <w:t xml:space="preserve">indiquer « indéterminé » pour </w:t>
      </w:r>
      <w:r w:rsidRPr="00B21EAA">
        <w:t xml:space="preserve">les traits qui n'ont pas été échantillonnés. À noter que toutes les heures relevées dans les formulaires doivent l'être en UTC plutôt qu'en heure locale du navire. </w:t>
      </w:r>
    </w:p>
    <w:p w14:paraId="4CFA72D8" w14:textId="77777777" w:rsidR="009F71E9" w:rsidRPr="00B21EAA" w:rsidRDefault="00795F4A" w:rsidP="009F71E9">
      <w:pPr>
        <w:shd w:val="clear" w:color="auto" w:fill="BFBFBF" w:themeFill="background1" w:themeFillShade="BF"/>
        <w:jc w:val="both"/>
        <w:rPr>
          <w:b/>
          <w:sz w:val="24"/>
          <w:szCs w:val="24"/>
        </w:rPr>
      </w:pPr>
      <w:r w:rsidRPr="00B21EAA">
        <w:rPr>
          <w:b/>
          <w:sz w:val="24"/>
        </w:rPr>
        <w:t>Formulaire</w:t>
      </w:r>
      <w:r w:rsidR="003D1295">
        <w:rPr>
          <w:b/>
          <w:sz w:val="24"/>
        </w:rPr>
        <w:t xml:space="preserve"> </w:t>
      </w:r>
      <w:r w:rsidRPr="00B21EAA">
        <w:rPr>
          <w:rFonts w:cstheme="minorHAnsi"/>
          <w:b/>
          <w:sz w:val="24"/>
        </w:rPr>
        <w:t>–</w:t>
      </w:r>
      <w:r w:rsidRPr="00B21EAA">
        <w:rPr>
          <w:b/>
          <w:sz w:val="24"/>
        </w:rPr>
        <w:t xml:space="preserve"> Biologie du krill</w:t>
      </w:r>
    </w:p>
    <w:p w14:paraId="3F14AE26" w14:textId="77777777" w:rsidR="00A43CB9" w:rsidRPr="00B21EAA" w:rsidRDefault="009F71E9" w:rsidP="00A43CB9">
      <w:pPr>
        <w:autoSpaceDE w:val="0"/>
        <w:autoSpaceDN w:val="0"/>
        <w:adjustRightInd w:val="0"/>
        <w:spacing w:after="120"/>
        <w:jc w:val="both"/>
        <w:rPr>
          <w:rFonts w:cstheme="minorHAnsi"/>
        </w:rPr>
      </w:pPr>
      <w:r w:rsidRPr="00B21EAA">
        <w:rPr>
          <w:rFonts w:cstheme="minorHAnsi"/>
        </w:rPr>
        <w:t>Ce formulaire est destiné à la collecte d'informations biologiques (par ex. longueur, sexe et stade de maturité du krill).  Noter l'identifiant du virage d'où proviennent les données collectées, car il permet de faire le lien entre l'échantillon et le chalut. Pour ajouter des commentaires ou relever d'autres mesures, utiliser la colonne réservée aux commentaires.</w:t>
      </w:r>
    </w:p>
    <w:p w14:paraId="1769ADF1" w14:textId="77777777" w:rsidR="00DC5E60" w:rsidRPr="00B21EAA" w:rsidRDefault="009F71E9" w:rsidP="00A43CB9">
      <w:pPr>
        <w:autoSpaceDE w:val="0"/>
        <w:autoSpaceDN w:val="0"/>
        <w:adjustRightInd w:val="0"/>
        <w:spacing w:after="120"/>
        <w:jc w:val="both"/>
        <w:rPr>
          <w:rFonts w:cstheme="minorHAnsi"/>
        </w:rPr>
      </w:pPr>
      <w:r w:rsidRPr="00B21EAA">
        <w:rPr>
          <w:rFonts w:cstheme="minorHAnsi"/>
        </w:rPr>
        <w:t xml:space="preserve">Il est demandé aux observateurs d'échantillonner 200 individus de krill sur un trait choisi au hasard tous les trois jours entre novembre et février. Entre mars et octobre, l'échantillonnage doit être effectué une fois tous les cinq jours pendant chaque période de 20 jours ou, pour les méthodes de pêche en continu, un échantillon doit être prélevé chaque jour pendant </w:t>
      </w:r>
      <w:r w:rsidR="006D3075" w:rsidRPr="00B21EAA">
        <w:rPr>
          <w:rFonts w:cstheme="minorHAnsi"/>
        </w:rPr>
        <w:t xml:space="preserve">cinq </w:t>
      </w:r>
      <w:r w:rsidRPr="00B21EAA">
        <w:rPr>
          <w:rFonts w:cstheme="minorHAnsi"/>
        </w:rPr>
        <w:t>jours. Une nouvelle période de 20 jours commence si le navire déplace ses activités de &gt;50 milles nautiques, ou s'il change de zone statistique de la CCAMLR.</w:t>
      </w:r>
    </w:p>
    <w:p w14:paraId="4C42AAA0" w14:textId="77777777" w:rsidR="00960D32" w:rsidRPr="00B21EAA" w:rsidRDefault="00DC5E60" w:rsidP="00A43CB9">
      <w:pPr>
        <w:autoSpaceDE w:val="0"/>
        <w:autoSpaceDN w:val="0"/>
        <w:adjustRightInd w:val="0"/>
        <w:spacing w:after="120"/>
        <w:jc w:val="both"/>
        <w:rPr>
          <w:rFonts w:cstheme="minorHAnsi"/>
        </w:rPr>
      </w:pPr>
      <w:r w:rsidRPr="00B21EAA">
        <w:rPr>
          <w:rFonts w:cstheme="minorHAnsi"/>
          <w:u w:val="single"/>
        </w:rPr>
        <w:t>Mesures du krill :</w:t>
      </w:r>
      <w:r w:rsidRPr="00B21EAA">
        <w:rPr>
          <w:rFonts w:cstheme="minorHAnsi"/>
        </w:rPr>
        <w:t xml:space="preserve"> La longueur du krill se mesure de la face antérieure de l'œil à la pointe du telson (voir figure 1).</w:t>
      </w:r>
    </w:p>
    <w:p w14:paraId="34989F2E" w14:textId="77777777" w:rsidR="009F71E9" w:rsidRPr="00B21EAA" w:rsidRDefault="00960D32" w:rsidP="00A43CB9">
      <w:pPr>
        <w:autoSpaceDE w:val="0"/>
        <w:autoSpaceDN w:val="0"/>
        <w:adjustRightInd w:val="0"/>
        <w:spacing w:after="120"/>
        <w:jc w:val="both"/>
        <w:rPr>
          <w:rFonts w:cstheme="minorHAnsi"/>
          <w:u w:val="single"/>
        </w:rPr>
      </w:pPr>
      <w:r w:rsidRPr="00B21EAA">
        <w:rPr>
          <w:rFonts w:cstheme="minorHAnsi"/>
          <w:u w:val="single"/>
        </w:rPr>
        <w:t>Sexe :</w:t>
      </w:r>
      <w:r w:rsidRPr="00B21EAA">
        <w:rPr>
          <w:rFonts w:cstheme="minorHAnsi"/>
        </w:rPr>
        <w:t xml:space="preserve"> Mâle, femelle ou indéterminé. À déterminer à l'aide des clés suivantes.  </w:t>
      </w:r>
      <w:r w:rsidRPr="00B21EAA">
        <w:rPr>
          <w:rFonts w:cstheme="minorHAnsi"/>
          <w:u w:val="single"/>
        </w:rPr>
        <w:t xml:space="preserve"> </w:t>
      </w:r>
    </w:p>
    <w:p w14:paraId="5E1F867E" w14:textId="77777777" w:rsidR="003D1295" w:rsidRDefault="003F0FDD" w:rsidP="00A43CB9">
      <w:pPr>
        <w:jc w:val="both"/>
        <w:rPr>
          <w:rFonts w:cstheme="minorHAnsi"/>
        </w:rPr>
      </w:pPr>
      <w:r w:rsidRPr="00B21EAA">
        <w:rPr>
          <w:rFonts w:cstheme="minorHAnsi"/>
          <w:u w:val="single"/>
        </w:rPr>
        <w:t>Stade de maturité :</w:t>
      </w:r>
      <w:r w:rsidRPr="00B21EAA">
        <w:rPr>
          <w:rFonts w:cstheme="minorHAnsi"/>
        </w:rPr>
        <w:t xml:space="preserve"> Relever le stade de maturité comme suit : 1. Juvénile ; 2. Adulte ; 3. Gravide. À déterminer à l'aide des clés suivantes.</w:t>
      </w:r>
      <w:r w:rsidR="003D1295">
        <w:rPr>
          <w:rFonts w:cstheme="minorHAnsi"/>
        </w:rPr>
        <w:br w:type="page"/>
      </w:r>
    </w:p>
    <w:p w14:paraId="7A77875B" w14:textId="77777777" w:rsidR="003F0FDD" w:rsidRPr="00B21EAA" w:rsidRDefault="003F0FDD" w:rsidP="00A43CB9">
      <w:pPr>
        <w:jc w:val="both"/>
      </w:pPr>
      <w:r w:rsidRPr="00B21EAA">
        <w:lastRenderedPageBreak/>
        <w:t>1</w:t>
      </w:r>
      <w:r w:rsidRPr="00B21EAA">
        <w:rPr>
          <w:vertAlign w:val="superscript"/>
        </w:rPr>
        <w:t>ère</w:t>
      </w:r>
      <w:r w:rsidRPr="00B21EAA">
        <w:t xml:space="preserve"> étape. Présence du pétasma : Cet organe, sous ses diverses formes (stades de développement), apparaît chez le mâle lorsqu'il atteint environ 28 mm de longueur. À partir de cette taille, tous les spécimens triés qui n'ont pas de pétasma (endopodes modifiés de la première paire de pléopodes : voir figure 2) sont des femelles. Le pétasma est généralement replié et rentré à l'intérieur de la plaque de la patte natatoire à proximité des lobes.</w:t>
      </w:r>
    </w:p>
    <w:p w14:paraId="5690AA5D" w14:textId="77777777" w:rsidR="003F0FDD" w:rsidRPr="00B21EAA" w:rsidRDefault="003F0FDD" w:rsidP="003F0FDD">
      <w:pPr>
        <w:jc w:val="both"/>
      </w:pPr>
      <w:r w:rsidRPr="00B21EAA">
        <w:t>2</w:t>
      </w:r>
      <w:r w:rsidRPr="00B21EAA">
        <w:rPr>
          <w:vertAlign w:val="superscript"/>
        </w:rPr>
        <w:t>e</w:t>
      </w:r>
      <w:r w:rsidRPr="00B21EAA">
        <w:t xml:space="preserve"> étape. Présence du thélycum : Les femelles adultes de krill peuvent être identifiées par la présence du thélycum (figure 2) qui est souvent de couleur rougeâtre. Chez les femelles gravides, on note un net gonflement de la carapace par rapport aux femelles non gravides.</w:t>
      </w:r>
    </w:p>
    <w:p w14:paraId="06E498D1" w14:textId="77777777" w:rsidR="003F0FDD" w:rsidRPr="00B21EAA" w:rsidRDefault="003F0FDD" w:rsidP="003F0FDD">
      <w:pPr>
        <w:jc w:val="both"/>
      </w:pPr>
      <w:r w:rsidRPr="00B21EAA">
        <w:t>3</w:t>
      </w:r>
      <w:r w:rsidRPr="00B21EAA">
        <w:rPr>
          <w:vertAlign w:val="superscript"/>
        </w:rPr>
        <w:t>e</w:t>
      </w:r>
      <w:r w:rsidRPr="00B21EAA">
        <w:t xml:space="preserve"> étape. Les juvéniles sont facilement identifiables, car ils n'ont pas de caractéristiques sexuelles externes, que ce soit pétasma ou thélycum, et ils sont généralement inférieurs à 28 mm de longueur.</w:t>
      </w:r>
    </w:p>
    <w:p w14:paraId="0AC7340A" w14:textId="77777777" w:rsidR="00DC5E60" w:rsidRPr="00B21EAA" w:rsidRDefault="00DC5E60" w:rsidP="0066150C">
      <w:pPr>
        <w:jc w:val="center"/>
      </w:pPr>
      <w:r w:rsidRPr="00B21EAA">
        <w:rPr>
          <w:noProof/>
        </w:rPr>
        <w:drawing>
          <wp:inline distT="0" distB="0" distL="0" distR="0" wp14:anchorId="15F59A1D" wp14:editId="0A260462">
            <wp:extent cx="5181600" cy="1926826"/>
            <wp:effectExtent l="19050" t="19050" r="19050"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l Length.jpg"/>
                    <pic:cNvPicPr/>
                  </pic:nvPicPr>
                  <pic:blipFill rotWithShape="1">
                    <a:blip r:embed="rId11">
                      <a:extLst>
                        <a:ext uri="{28A0092B-C50C-407E-A947-70E740481C1C}">
                          <a14:useLocalDpi xmlns:a14="http://schemas.microsoft.com/office/drawing/2010/main" val="0"/>
                        </a:ext>
                      </a:extLst>
                    </a:blip>
                    <a:srcRect r="33843" b="83537"/>
                    <a:stretch/>
                  </pic:blipFill>
                  <pic:spPr bwMode="auto">
                    <a:xfrm>
                      <a:off x="0" y="0"/>
                      <a:ext cx="5182755" cy="1927256"/>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17241A42" w14:textId="77777777" w:rsidR="00DC5E60" w:rsidRPr="00B21EAA" w:rsidRDefault="00DC5E60" w:rsidP="0066150C">
      <w:pPr>
        <w:ind w:left="426" w:right="521"/>
        <w:jc w:val="both"/>
      </w:pPr>
      <w:r w:rsidRPr="00B21EAA">
        <w:rPr>
          <w:b/>
        </w:rPr>
        <w:t xml:space="preserve">Figure 1 : </w:t>
      </w:r>
      <w:r w:rsidRPr="00B21EAA">
        <w:t>Mesure de la longueur totale du corps (AT) du krill capturé pendant des opérations de pêche commerciale : de la face antérieure de l'œil à l'extrémité du telson, au millimètre inférieur près.</w:t>
      </w:r>
    </w:p>
    <w:p w14:paraId="5F101969" w14:textId="77777777" w:rsidR="003F0FDD" w:rsidRPr="00B21EAA" w:rsidRDefault="00D06C35" w:rsidP="003F0FDD">
      <w:pPr>
        <w:jc w:val="center"/>
      </w:pPr>
      <w:r w:rsidRPr="00B21EAA">
        <w:rPr>
          <w:noProof/>
        </w:rPr>
        <w:lastRenderedPageBreak/>
        <w:drawing>
          <wp:inline distT="0" distB="0" distL="0" distR="0" wp14:anchorId="6F82DFC4" wp14:editId="0ACF5CF0">
            <wp:extent cx="4438650" cy="4848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438650" cy="4848225"/>
                    </a:xfrm>
                    <a:prstGeom prst="rect">
                      <a:avLst/>
                    </a:prstGeom>
                  </pic:spPr>
                </pic:pic>
              </a:graphicData>
            </a:graphic>
          </wp:inline>
        </w:drawing>
      </w:r>
    </w:p>
    <w:p w14:paraId="07ABBD45" w14:textId="77777777" w:rsidR="00A43CB9" w:rsidRPr="00B21EAA" w:rsidRDefault="00DC5E60" w:rsidP="003D32A1">
      <w:pPr>
        <w:jc w:val="both"/>
      </w:pPr>
      <w:r w:rsidRPr="00B21EAA">
        <w:rPr>
          <w:b/>
        </w:rPr>
        <w:t xml:space="preserve">Figure 2 </w:t>
      </w:r>
      <w:r w:rsidRPr="00B21EAA">
        <w:t xml:space="preserve">: </w:t>
      </w:r>
      <w:r w:rsidRPr="00B21EAA">
        <w:rPr>
          <w:i/>
        </w:rPr>
        <w:t>Euphausia superba</w:t>
      </w:r>
      <w:r w:rsidRPr="00B21EAA">
        <w:t>. A : mâle mature, l'emplacement du pétasma (Pt) étant visible sur le premier pléopode, B : femelle mature avec ovaires (Ov) gonflés et thélycum contenant des spermatophores (T+S) et C : vue ventrale d'une femelle de krill (avec les dernières branchies et les endopodes (parties inférieures des premiers pléopodes) supprimés pour des besoins de clarté) montrant le thélycum (T) et l'emplacement de la base des dernières branchies (G) avec inserts du premier pléopode d'un mâle dont le pétasma est visible et du premier pléopode d'une femelle ou d'un juvénile (adapté à partir de BIOMASS Handbook, N</w:t>
      </w:r>
      <w:r w:rsidRPr="00B21EAA">
        <w:rPr>
          <w:vertAlign w:val="superscript"/>
        </w:rPr>
        <w:t>o</w:t>
      </w:r>
      <w:r w:rsidRPr="00B21EAA">
        <w:t xml:space="preserve"> 11 et de documents du BAS).</w:t>
      </w:r>
    </w:p>
    <w:p w14:paraId="6288B7A9" w14:textId="77777777" w:rsidR="003F0FDD" w:rsidRPr="00B21EAA" w:rsidRDefault="005854B0" w:rsidP="0066150C">
      <w:pPr>
        <w:jc w:val="both"/>
      </w:pPr>
      <w:r w:rsidRPr="00B21EAA">
        <w:rPr>
          <w:noProof/>
        </w:rPr>
        <w:drawing>
          <wp:anchor distT="0" distB="0" distL="114300" distR="114300" simplePos="0" relativeHeight="251659264" behindDoc="0" locked="0" layoutInCell="1" allowOverlap="1" wp14:anchorId="502D2B0B" wp14:editId="6FD92640">
            <wp:simplePos x="0" y="0"/>
            <wp:positionH relativeFrom="column">
              <wp:posOffset>870695</wp:posOffset>
            </wp:positionH>
            <wp:positionV relativeFrom="paragraph">
              <wp:posOffset>-154622</wp:posOffset>
            </wp:positionV>
            <wp:extent cx="1057275" cy="2800350"/>
            <wp:effectExtent l="4763" t="0" r="0" b="0"/>
            <wp:wrapNone/>
            <wp:docPr id="226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4"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400000">
                      <a:off x="0" y="0"/>
                      <a:ext cx="1057275" cy="2800350"/>
                    </a:xfrm>
                    <a:prstGeom prst="rect">
                      <a:avLst/>
                    </a:prstGeom>
                    <a:noFill/>
                    <a:ln>
                      <a:noFill/>
                    </a:ln>
                  </pic:spPr>
                </pic:pic>
              </a:graphicData>
            </a:graphic>
          </wp:anchor>
        </w:drawing>
      </w:r>
      <w:r w:rsidRPr="00B21EAA">
        <w:rPr>
          <w:noProof/>
        </w:rPr>
        <w:drawing>
          <wp:anchor distT="0" distB="0" distL="114300" distR="114300" simplePos="0" relativeHeight="251660288" behindDoc="0" locked="0" layoutInCell="1" allowOverlap="1" wp14:anchorId="789D5C9C" wp14:editId="47F6B426">
            <wp:simplePos x="0" y="0"/>
            <wp:positionH relativeFrom="column">
              <wp:posOffset>3834155</wp:posOffset>
            </wp:positionH>
            <wp:positionV relativeFrom="paragraph">
              <wp:posOffset>-142331</wp:posOffset>
            </wp:positionV>
            <wp:extent cx="1047750" cy="2790825"/>
            <wp:effectExtent l="4762" t="0" r="4763" b="4762"/>
            <wp:wrapNone/>
            <wp:docPr id="226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5"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400000">
                      <a:off x="0" y="0"/>
                      <a:ext cx="1047750" cy="2790825"/>
                    </a:xfrm>
                    <a:prstGeom prst="rect">
                      <a:avLst/>
                    </a:prstGeom>
                    <a:noFill/>
                    <a:ln>
                      <a:noFill/>
                    </a:ln>
                  </pic:spPr>
                </pic:pic>
              </a:graphicData>
            </a:graphic>
          </wp:anchor>
        </w:drawing>
      </w:r>
      <w:r w:rsidRPr="00B21EAA">
        <w:rPr>
          <w:u w:val="single"/>
        </w:rPr>
        <w:t>Coloration du krill</w:t>
      </w:r>
      <w:r w:rsidRPr="00B21EAA">
        <w:t xml:space="preserve"> : La présence ou l'absence de coloration vert-brun (voir figure 3) des intestins ou du foie (preuve de l'alimentation) doit être notée pour tous les individus de krill mesurés.</w:t>
      </w:r>
    </w:p>
    <w:p w14:paraId="31FAC60E" w14:textId="77777777" w:rsidR="003F0FDD" w:rsidRPr="00B21EAA" w:rsidRDefault="003F0FDD" w:rsidP="003F0FDD">
      <w:pPr>
        <w:jc w:val="both"/>
      </w:pPr>
    </w:p>
    <w:p w14:paraId="7C8CE3FE" w14:textId="77777777" w:rsidR="00136944" w:rsidRPr="00B21EAA" w:rsidRDefault="00136944" w:rsidP="003F0FDD">
      <w:pPr>
        <w:jc w:val="both"/>
      </w:pPr>
    </w:p>
    <w:p w14:paraId="44139078" w14:textId="77777777" w:rsidR="00136944" w:rsidRPr="00B21EAA" w:rsidRDefault="00136944" w:rsidP="003F0FDD">
      <w:pPr>
        <w:jc w:val="both"/>
      </w:pPr>
    </w:p>
    <w:p w14:paraId="3D9A158C" w14:textId="77777777" w:rsidR="00136944" w:rsidRPr="00B21EAA" w:rsidRDefault="00136944" w:rsidP="005854B0">
      <w:pPr>
        <w:spacing w:after="300"/>
        <w:jc w:val="both"/>
      </w:pPr>
    </w:p>
    <w:p w14:paraId="5B398069" w14:textId="77777777" w:rsidR="005854B0" w:rsidRPr="00B21EAA" w:rsidRDefault="005854B0" w:rsidP="005854B0">
      <w:pPr>
        <w:spacing w:before="200"/>
      </w:pPr>
      <w:r w:rsidRPr="00B21EAA">
        <w:rPr>
          <w:b/>
        </w:rPr>
        <w:t>Figure 3 :</w:t>
      </w:r>
      <w:r w:rsidRPr="00B21EAA">
        <w:t xml:space="preserve"> Couleur du krill (alimentation). Image de gauche = 0 (transparent). Image de droite = 1 (coloration vert-brun).</w:t>
      </w:r>
    </w:p>
    <w:p w14:paraId="48003335" w14:textId="77777777" w:rsidR="003D32A1" w:rsidRPr="00B21EAA" w:rsidRDefault="00795F4A" w:rsidP="003D32A1">
      <w:pPr>
        <w:shd w:val="clear" w:color="auto" w:fill="BFBFBF" w:themeFill="background1" w:themeFillShade="BF"/>
        <w:jc w:val="both"/>
        <w:rPr>
          <w:b/>
          <w:sz w:val="24"/>
          <w:szCs w:val="24"/>
        </w:rPr>
      </w:pPr>
      <w:r w:rsidRPr="00B21EAA">
        <w:rPr>
          <w:b/>
          <w:sz w:val="24"/>
        </w:rPr>
        <w:lastRenderedPageBreak/>
        <w:t>Formulaire – Échantillonnage des captures accessoires</w:t>
      </w:r>
    </w:p>
    <w:p w14:paraId="4AB943C8" w14:textId="77777777" w:rsidR="003D32A1" w:rsidRPr="00B21EAA" w:rsidRDefault="003D32A1" w:rsidP="003D32A1">
      <w:pPr>
        <w:jc w:val="both"/>
      </w:pPr>
      <w:r w:rsidRPr="00B21EAA">
        <w:t>Afin de quantifier les captures accessoires de poissons, l'observateur devrait choisir un trait ou une unité de trait de deux heures pour la pêche en continu et collecter un échantillon de 25 kg de krill d'un endroit sur le navire où la capture n'a pas encore été triée. Trier cet échantillon, identifier tou</w:t>
      </w:r>
      <w:r w:rsidR="00B21EAA">
        <w:t>te</w:t>
      </w:r>
      <w:r w:rsidRPr="00B21EAA">
        <w:t xml:space="preserve">s les espèces des captures accessoires et enregistrer le nombre et le poids total de chaque espèce. Il n'est plus nécessaire de procéder à un sous-échantillonnage de 25 kg, donc s'assurer que le tri de l'échantillon est minutieux !  </w:t>
      </w:r>
    </w:p>
    <w:p w14:paraId="406A2D18" w14:textId="77777777" w:rsidR="003D32A1" w:rsidRPr="00B21EAA" w:rsidRDefault="00795F4A" w:rsidP="003D32A1">
      <w:pPr>
        <w:shd w:val="clear" w:color="auto" w:fill="BFBFBF" w:themeFill="background1" w:themeFillShade="BF"/>
        <w:jc w:val="both"/>
        <w:rPr>
          <w:b/>
          <w:sz w:val="24"/>
          <w:szCs w:val="24"/>
        </w:rPr>
      </w:pPr>
      <w:r w:rsidRPr="00B21EAA">
        <w:rPr>
          <w:b/>
          <w:sz w:val="24"/>
        </w:rPr>
        <w:t>Formulaire – Mesures des captures accessoires</w:t>
      </w:r>
    </w:p>
    <w:p w14:paraId="4450B89A" w14:textId="77777777" w:rsidR="003D32A1" w:rsidRPr="00B21EAA" w:rsidRDefault="003D32A1" w:rsidP="003D32A1">
      <w:pPr>
        <w:jc w:val="both"/>
      </w:pPr>
      <w:r w:rsidRPr="00B21EAA">
        <w:t xml:space="preserve">Mesurer la longueur totale de chaque individu de taxon de la capture accessoire trouvé dans les échantillons de capture accessoire de 25-kg, en veillant bien à ce que l'identifiant de la </w:t>
      </w:r>
      <w:r w:rsidR="006D3075" w:rsidRPr="00B21EAA">
        <w:t>pose</w:t>
      </w:r>
      <w:r w:rsidRPr="00B21EAA">
        <w:t xml:space="preserve"> relevé pour l'échantillon de la capture accessoire et pour la capture accessoire soit le même. </w:t>
      </w:r>
    </w:p>
    <w:p w14:paraId="67C6BF57" w14:textId="77777777" w:rsidR="003D32A1" w:rsidRPr="00B21EAA" w:rsidRDefault="003D32A1" w:rsidP="003D32A1">
      <w:pPr>
        <w:jc w:val="both"/>
      </w:pPr>
      <w:r w:rsidRPr="00B21EAA">
        <w:t>Prendre des photos numériques :</w:t>
      </w:r>
    </w:p>
    <w:p w14:paraId="4EA74CD0" w14:textId="77777777" w:rsidR="003D32A1" w:rsidRPr="00B21EAA" w:rsidRDefault="0066150C" w:rsidP="003D32A1">
      <w:pPr>
        <w:pStyle w:val="ListParagraph"/>
        <w:numPr>
          <w:ilvl w:val="0"/>
          <w:numId w:val="7"/>
        </w:numPr>
        <w:jc w:val="both"/>
      </w:pPr>
      <w:r w:rsidRPr="00B21EAA">
        <w:t>En cas d'incertitude quant à l'identification d'un poisson.</w:t>
      </w:r>
    </w:p>
    <w:p w14:paraId="033AAA19" w14:textId="77777777" w:rsidR="003D32A1" w:rsidRPr="00B21EAA" w:rsidRDefault="003D32A1" w:rsidP="003D32A1">
      <w:pPr>
        <w:pStyle w:val="ListParagraph"/>
        <w:numPr>
          <w:ilvl w:val="0"/>
          <w:numId w:val="7"/>
        </w:numPr>
        <w:jc w:val="both"/>
      </w:pPr>
      <w:r w:rsidRPr="00B21EAA">
        <w:t>Afin de vérifier l'identification d'une espèce importante (c.-à-d. une espèce qui constitue plus de 80% en poids ou en nombre de poissons d'un échantillon duquel &gt;50 poissons sont enregistrés).</w:t>
      </w:r>
    </w:p>
    <w:p w14:paraId="7C9C2F16" w14:textId="77777777" w:rsidR="003D32A1" w:rsidRPr="00B21EAA" w:rsidRDefault="003D32A1" w:rsidP="003D32A1">
      <w:pPr>
        <w:jc w:val="both"/>
      </w:pPr>
      <w:r w:rsidRPr="00B21EAA">
        <w:t xml:space="preserve">Sur toutes les photos numériques doivent figurer le nom du navire, le numéro du virage et la date. Les photos doivent être vérifiées par des experts du pays ou soumises au secrétariat pour validation. </w:t>
      </w:r>
    </w:p>
    <w:p w14:paraId="0EC74D11" w14:textId="77777777" w:rsidR="00136944" w:rsidRPr="00B21EAA" w:rsidRDefault="00795F4A" w:rsidP="00136944">
      <w:pPr>
        <w:shd w:val="clear" w:color="auto" w:fill="BFBFBF" w:themeFill="background1" w:themeFillShade="BF"/>
        <w:jc w:val="both"/>
        <w:rPr>
          <w:b/>
          <w:sz w:val="24"/>
          <w:szCs w:val="24"/>
        </w:rPr>
      </w:pPr>
      <w:r w:rsidRPr="00B21EAA">
        <w:rPr>
          <w:b/>
          <w:sz w:val="24"/>
        </w:rPr>
        <w:t>Formulaire</w:t>
      </w:r>
      <w:r w:rsidRPr="00B21EAA">
        <w:rPr>
          <w:sz w:val="24"/>
        </w:rPr>
        <w:t xml:space="preserve"> </w:t>
      </w:r>
      <w:r w:rsidRPr="00B21EAA">
        <w:rPr>
          <w:rFonts w:cstheme="minorHAnsi"/>
          <w:b/>
          <w:sz w:val="24"/>
        </w:rPr>
        <w:t>–</w:t>
      </w:r>
      <w:r w:rsidRPr="00B21EAA">
        <w:rPr>
          <w:sz w:val="24"/>
        </w:rPr>
        <w:t xml:space="preserve"> </w:t>
      </w:r>
      <w:r w:rsidRPr="00B21EAA">
        <w:rPr>
          <w:b/>
          <w:sz w:val="24"/>
        </w:rPr>
        <w:t>IMAF</w:t>
      </w:r>
      <w:r w:rsidRPr="00B21EAA">
        <w:rPr>
          <w:sz w:val="24"/>
        </w:rPr>
        <w:t xml:space="preserve"> </w:t>
      </w:r>
      <w:r w:rsidRPr="00B21EAA">
        <w:rPr>
          <w:rFonts w:cstheme="minorHAnsi"/>
          <w:b/>
          <w:sz w:val="24"/>
        </w:rPr>
        <w:t>au virage</w:t>
      </w:r>
    </w:p>
    <w:p w14:paraId="0EE44924" w14:textId="77777777" w:rsidR="00727B32" w:rsidRPr="00B21EAA" w:rsidRDefault="0066150C" w:rsidP="00536706">
      <w:pPr>
        <w:jc w:val="both"/>
      </w:pPr>
      <w:r w:rsidRPr="00B21EAA">
        <w:rPr>
          <w:u w:val="single"/>
        </w:rPr>
        <w:t>Capture accidentelle d'oiseaux et de mammifères marins :</w:t>
      </w:r>
      <w:r w:rsidRPr="00B21EAA">
        <w:t xml:space="preserve"> L'évaluation des taux de capture d'oiseaux lors du virage de la palangre ne peut être précise que si l'on observe les opérations depuis le pont de travail extérieur. En effet, sur de nombreux navires, un poste de travail sur la passerelle du navire ou </w:t>
      </w:r>
      <w:r w:rsidR="006D3075" w:rsidRPr="00B21EAA">
        <w:t>dans</w:t>
      </w:r>
      <w:r w:rsidRPr="00B21EAA">
        <w:t xml:space="preserve"> l'usine peut obstruer la visibilité. Parmi les tâches d'enregistrement des données à effectuer au virage, on note l'observation d'oiseaux ou de mammifères marins pris dans des engins et à quel stade du virage cela se produit. Les observateurs doivent noter s'ils ont eux-mêmes vu l'oiseau arriver sur le pont ou s'ils en ont été avertis par un membre de l'équipage. </w:t>
      </w:r>
    </w:p>
    <w:p w14:paraId="66D693E3" w14:textId="77777777" w:rsidR="00727B32" w:rsidRPr="00B21EAA" w:rsidRDefault="00727B32" w:rsidP="00727B32">
      <w:r w:rsidRPr="00B21EAA">
        <w:t xml:space="preserve">Pour chaque oiseau ou mammifère remonté à bord, noter l’espèce, ce qu'il advient de l'animal et la cause des blessures. Se référer aux planches d'identification des oiseaux de l'océan Austral publiées dans la brochure </w:t>
      </w:r>
      <w:r w:rsidRPr="00B21EAA">
        <w:rPr>
          <w:i/>
        </w:rPr>
        <w:t>Pêcher en mer, pas en l'air</w:t>
      </w:r>
      <w:r w:rsidRPr="00B21EAA">
        <w:t xml:space="preserve"> (CCAMLR, 1996).  </w:t>
      </w:r>
    </w:p>
    <w:p w14:paraId="50F452F1" w14:textId="77777777" w:rsidR="00E70175" w:rsidRDefault="00727B32" w:rsidP="00727B32">
      <w:pPr>
        <w:jc w:val="both"/>
      </w:pPr>
      <w:r w:rsidRPr="00B21EAA">
        <w:t>Si votre organisation l'exige, les oiseaux de mer remontés à bord morts peuvent être conservés comme échantillons congelés. Il convient alors d'étiqueter l'échantillon en mentionnant la date et l'heure de la remontée à bord, l'espèce, le nom du navire, celui de l'observateur et un numéro correspondant à celui utilisé sur la fiche de données IMAF sur le virage. Dès que les oiseaux sont remontés à bord, vérifiez s'ils sont bagués. Sur la liste des tâches que vous a assignées l'organisation qui vous emploie, vous trouverez des informations sur ce que vous devrez faire des échantillons d'oiseaux collectés et/ou des bagues lorsque vous descendrez du navire.</w:t>
      </w:r>
      <w:r w:rsidR="00E70175">
        <w:br w:type="page"/>
      </w:r>
    </w:p>
    <w:p w14:paraId="481EBB78" w14:textId="77777777" w:rsidR="00B32497" w:rsidRPr="00B21EAA" w:rsidRDefault="00795F4A" w:rsidP="00B32497">
      <w:pPr>
        <w:shd w:val="clear" w:color="auto" w:fill="BFBFBF" w:themeFill="background1" w:themeFillShade="BF"/>
        <w:jc w:val="both"/>
        <w:rPr>
          <w:b/>
          <w:sz w:val="24"/>
          <w:szCs w:val="24"/>
        </w:rPr>
      </w:pPr>
      <w:r w:rsidRPr="00B21EAA">
        <w:rPr>
          <w:b/>
          <w:sz w:val="24"/>
        </w:rPr>
        <w:lastRenderedPageBreak/>
        <w:t xml:space="preserve">Formulaire </w:t>
      </w:r>
      <w:r w:rsidRPr="00B21EAA">
        <w:rPr>
          <w:rFonts w:cstheme="minorHAnsi"/>
          <w:b/>
          <w:sz w:val="24"/>
        </w:rPr>
        <w:t>–</w:t>
      </w:r>
      <w:r w:rsidRPr="00B21EAA">
        <w:rPr>
          <w:b/>
          <w:sz w:val="24"/>
        </w:rPr>
        <w:t xml:space="preserve"> Collision avec les funes</w:t>
      </w:r>
    </w:p>
    <w:p w14:paraId="5E0AD537" w14:textId="77777777" w:rsidR="00B32497" w:rsidRPr="00B21EAA" w:rsidRDefault="00B32497" w:rsidP="00B32497">
      <w:pPr>
        <w:jc w:val="both"/>
      </w:pPr>
      <w:r w:rsidRPr="00B21EAA">
        <w:t>Ce formulaire est destiné à l'enregistrement des interactions entre les oiseaux et les funes de chalut. Les observations auront lieu lors de toute activité liée au filage du filet, ou au moins une fois par jour pendant une période de 15 minutes, lors du chalutage, pendant l'une des périodes d'activités suivantes :</w:t>
      </w:r>
    </w:p>
    <w:p w14:paraId="60A28B07" w14:textId="77777777" w:rsidR="00B32497" w:rsidRPr="00B21EAA" w:rsidRDefault="0066150C" w:rsidP="00B32497">
      <w:pPr>
        <w:pStyle w:val="ListParagraph"/>
        <w:numPr>
          <w:ilvl w:val="0"/>
          <w:numId w:val="6"/>
        </w:numPr>
        <w:jc w:val="both"/>
      </w:pPr>
      <w:r w:rsidRPr="00B21EAA">
        <w:t>lors du lavage du pont après le filage du chalut</w:t>
      </w:r>
    </w:p>
    <w:p w14:paraId="56BC6289" w14:textId="77777777" w:rsidR="00B32497" w:rsidRPr="00B21EAA" w:rsidRDefault="0066150C" w:rsidP="00B32497">
      <w:pPr>
        <w:pStyle w:val="ListParagraph"/>
        <w:numPr>
          <w:ilvl w:val="0"/>
          <w:numId w:val="6"/>
        </w:numPr>
        <w:jc w:val="both"/>
      </w:pPr>
      <w:r w:rsidRPr="00B21EAA">
        <w:t>lorsque le navire change de cap</w:t>
      </w:r>
    </w:p>
    <w:p w14:paraId="141CF731" w14:textId="77777777" w:rsidR="00B32497" w:rsidRPr="00B21EAA" w:rsidRDefault="0066150C" w:rsidP="00B32497">
      <w:pPr>
        <w:pStyle w:val="ListParagraph"/>
        <w:numPr>
          <w:ilvl w:val="0"/>
          <w:numId w:val="6"/>
        </w:numPr>
        <w:jc w:val="both"/>
      </w:pPr>
      <w:r w:rsidRPr="00B21EAA">
        <w:t>lors d'autres périodes de risque élevé (décrire ces événements dans le compte rendu de campagne)</w:t>
      </w:r>
    </w:p>
    <w:p w14:paraId="3643C8FA" w14:textId="77777777" w:rsidR="00B32497" w:rsidRPr="00B21EAA" w:rsidRDefault="0066150C" w:rsidP="00B32497">
      <w:pPr>
        <w:pStyle w:val="ListParagraph"/>
        <w:numPr>
          <w:ilvl w:val="0"/>
          <w:numId w:val="6"/>
        </w:numPr>
        <w:jc w:val="both"/>
      </w:pPr>
      <w:r w:rsidRPr="00B21EAA">
        <w:t>pendant une période de 15 minutes choisie au hasard en dehors d'une période de risque élevé.</w:t>
      </w:r>
    </w:p>
    <w:p w14:paraId="6181DECF" w14:textId="77777777" w:rsidR="00727B32" w:rsidRPr="00B21EAA" w:rsidRDefault="00727B32" w:rsidP="00727B32">
      <w:pPr>
        <w:jc w:val="both"/>
      </w:pPr>
      <w:r w:rsidRPr="00B21EAA">
        <w:t>Relever l'activité dans le champ « Période d'observation ».</w:t>
      </w:r>
    </w:p>
    <w:p w14:paraId="4E4D89AF" w14:textId="77777777" w:rsidR="00727B32" w:rsidRPr="00B21EAA" w:rsidRDefault="00755245" w:rsidP="00755245">
      <w:pPr>
        <w:jc w:val="both"/>
      </w:pPr>
      <w:r w:rsidRPr="00B21EAA">
        <w:t xml:space="preserve">Toujours choisir la fune du côté où la plus grande partie des déchets est déversée à la mer (selon l'expérience que vous avez du navire). Pendant toute la durée de la sortie, contrôler cette fune et relever la distance entre le navire et l'endroit où la fune entre dans l'eau. Dans le cas d'un changement de cap durant l'observation, noter </w:t>
      </w:r>
      <w:r w:rsidR="006D3075" w:rsidRPr="00B21EAA">
        <w:t>la direction</w:t>
      </w:r>
      <w:r w:rsidRPr="00B21EAA">
        <w:t>. Pour chaque période d'observation de 15 minutes, noter la quantité de déchets d'usine ou de pêche rejetée à la mer. Les déchets d'usine sont des appâts ou des produits dérivés de la transformation du poisson et d'autres organismes. Ils n'incluent pas l'eau gélatineuse, qui est un liquide produit lors de la transformation du krill et du poisson. Les rejets de la pêche sont des poissons entiers ou d'autres organismes rejetés à la mer morts ou dont les chances de survie sont faibles. Les catégories relatives au rejet de déchets d'usine ou d'eau gélatineuse sont les suivantes :</w:t>
      </w:r>
    </w:p>
    <w:p w14:paraId="0FA7DA4A" w14:textId="77777777" w:rsidR="00727B32" w:rsidRPr="00B21EAA" w:rsidRDefault="00727B32" w:rsidP="00727B32">
      <w:pPr>
        <w:pStyle w:val="ListParagraph"/>
        <w:numPr>
          <w:ilvl w:val="0"/>
          <w:numId w:val="11"/>
        </w:numPr>
        <w:spacing w:after="0"/>
      </w:pPr>
      <w:r w:rsidRPr="00B21EAA">
        <w:t>Aucun : Pas d'observation</w:t>
      </w:r>
    </w:p>
    <w:p w14:paraId="356E08F3" w14:textId="77777777" w:rsidR="00727B32" w:rsidRPr="00B21EAA" w:rsidRDefault="00727B32" w:rsidP="00727B32">
      <w:pPr>
        <w:pStyle w:val="ListParagraph"/>
        <w:numPr>
          <w:ilvl w:val="0"/>
          <w:numId w:val="11"/>
        </w:numPr>
        <w:spacing w:after="0"/>
      </w:pPr>
      <w:r w:rsidRPr="00B21EAA">
        <w:t>Mineur : Jusqu'à trois observations de déchets d'usine pendant une minute</w:t>
      </w:r>
    </w:p>
    <w:p w14:paraId="595A115E" w14:textId="77777777" w:rsidR="00727B32" w:rsidRPr="00B21EAA" w:rsidRDefault="00727B32" w:rsidP="00727B32">
      <w:pPr>
        <w:pStyle w:val="ListParagraph"/>
        <w:numPr>
          <w:ilvl w:val="0"/>
          <w:numId w:val="11"/>
        </w:numPr>
        <w:spacing w:after="0"/>
        <w:jc w:val="both"/>
      </w:pPr>
      <w:r w:rsidRPr="00B21EAA">
        <w:t>Moyen : Entre trois et six observations de déchets d'usine pendant une minute</w:t>
      </w:r>
    </w:p>
    <w:p w14:paraId="6F591ABD" w14:textId="77777777" w:rsidR="00727B32" w:rsidRPr="00B21EAA" w:rsidRDefault="00727B32" w:rsidP="00536706">
      <w:pPr>
        <w:pStyle w:val="ListParagraph"/>
        <w:numPr>
          <w:ilvl w:val="0"/>
          <w:numId w:val="11"/>
        </w:numPr>
        <w:ind w:left="714" w:hanging="357"/>
        <w:contextualSpacing w:val="0"/>
        <w:jc w:val="both"/>
      </w:pPr>
      <w:r w:rsidRPr="00B21EAA">
        <w:t>Continu : Rejets de déchets d'usine à moins de 10 secondes d'intervalle.</w:t>
      </w:r>
    </w:p>
    <w:p w14:paraId="4863AB76" w14:textId="77777777" w:rsidR="00F93000" w:rsidRPr="00B21EAA" w:rsidRDefault="00885461" w:rsidP="00F93000">
      <w:pPr>
        <w:shd w:val="clear" w:color="auto" w:fill="BFBFBF" w:themeFill="background1" w:themeFillShade="BF"/>
        <w:jc w:val="both"/>
        <w:rPr>
          <w:b/>
          <w:sz w:val="24"/>
          <w:szCs w:val="24"/>
        </w:rPr>
      </w:pPr>
      <w:r w:rsidRPr="00B21EAA">
        <w:rPr>
          <w:b/>
          <w:sz w:val="24"/>
        </w:rPr>
        <w:t>Formulaire</w:t>
      </w:r>
      <w:r w:rsidRPr="00B21EAA">
        <w:rPr>
          <w:sz w:val="24"/>
        </w:rPr>
        <w:t xml:space="preserve"> </w:t>
      </w:r>
      <w:r w:rsidRPr="00B21EAA">
        <w:rPr>
          <w:rFonts w:cstheme="minorHAnsi"/>
          <w:b/>
          <w:sz w:val="24"/>
        </w:rPr>
        <w:t>-</w:t>
      </w:r>
      <w:r w:rsidRPr="00B21EAA">
        <w:rPr>
          <w:sz w:val="24"/>
        </w:rPr>
        <w:t xml:space="preserve"> </w:t>
      </w:r>
      <w:r w:rsidRPr="00B21EAA">
        <w:rPr>
          <w:b/>
          <w:sz w:val="24"/>
        </w:rPr>
        <w:t>Élimination des déchets</w:t>
      </w:r>
    </w:p>
    <w:p w14:paraId="32B5AFCD" w14:textId="77777777" w:rsidR="00727B32" w:rsidRPr="00B21EAA" w:rsidRDefault="00727B32" w:rsidP="00885461">
      <w:pPr>
        <w:jc w:val="both"/>
      </w:pPr>
      <w:r w:rsidRPr="00B21EAA">
        <w:t xml:space="preserve">Ce formulaire est destiné à l'enregistrement des informations récapitulatives sur la perte, l'entreposage et le rejet d'engins de pêche et de déchets en mer. Veuillez sélectionner une option du menu déroulant pour chaque champ. Les définitions sont les suivantes : </w:t>
      </w:r>
    </w:p>
    <w:p w14:paraId="7F260E74" w14:textId="77777777" w:rsidR="00727B32" w:rsidRPr="00B21EAA" w:rsidRDefault="00727B32" w:rsidP="00885461">
      <w:pPr>
        <w:jc w:val="both"/>
      </w:pPr>
      <w:r w:rsidRPr="00B21EAA">
        <w:rPr>
          <w:u w:val="single"/>
        </w:rPr>
        <w:t>Engins de pêche :</w:t>
      </w:r>
      <w:r w:rsidRPr="00B21EAA">
        <w:t xml:space="preserve"> tous les engins de pêche devenus inutilisables du fait de dégâts ou de perte.</w:t>
      </w:r>
    </w:p>
    <w:p w14:paraId="7205872D" w14:textId="77777777" w:rsidR="00727B32" w:rsidRPr="00B21EAA" w:rsidRDefault="00727B32" w:rsidP="00885461">
      <w:pPr>
        <w:jc w:val="both"/>
      </w:pPr>
      <w:r w:rsidRPr="00B21EAA">
        <w:rPr>
          <w:u w:val="single"/>
        </w:rPr>
        <w:t>Déchets ordinaires :</w:t>
      </w:r>
      <w:r w:rsidRPr="00B21EAA">
        <w:t xml:space="preserve"> tous les autres déchets tels que les plastiques, métaux, emballages, huiles et eaux usées. </w:t>
      </w:r>
    </w:p>
    <w:p w14:paraId="591FC01C" w14:textId="77777777" w:rsidR="00727B32" w:rsidRPr="00B21EAA" w:rsidRDefault="00727B32" w:rsidP="00885461">
      <w:pPr>
        <w:jc w:val="both"/>
      </w:pPr>
      <w:r w:rsidRPr="00B21EAA">
        <w:rPr>
          <w:u w:val="single"/>
        </w:rPr>
        <w:t>Perdus :</w:t>
      </w:r>
      <w:r w:rsidRPr="00B21EAA">
        <w:t xml:space="preserve"> fait référence aux engins ou déchets accidentellement tombés par-dessus bord, par mauvais temps, par ex. ou à la perte d'une palangre ou d'un chalut, etc.  </w:t>
      </w:r>
    </w:p>
    <w:p w14:paraId="3219C844" w14:textId="77777777" w:rsidR="00727B32" w:rsidRPr="00B21EAA" w:rsidRDefault="00727B32" w:rsidP="00885461">
      <w:pPr>
        <w:jc w:val="both"/>
      </w:pPr>
      <w:r w:rsidRPr="00B21EAA">
        <w:rPr>
          <w:u w:val="single"/>
        </w:rPr>
        <w:t>Rejetés :</w:t>
      </w:r>
      <w:r w:rsidRPr="00B21EAA">
        <w:t xml:space="preserve"> fait référence au rejet intentionnel d'engins ou de déchets en mer, tels que le rejet de déchets de cuisine, de plastiques ou d'engins de pêche abîmés.  </w:t>
      </w:r>
    </w:p>
    <w:p w14:paraId="2224A73B" w14:textId="77777777" w:rsidR="00727B32" w:rsidRPr="00B21EAA" w:rsidRDefault="00727B32" w:rsidP="00885461">
      <w:pPr>
        <w:jc w:val="both"/>
      </w:pPr>
      <w:r w:rsidRPr="00B21EAA">
        <w:lastRenderedPageBreak/>
        <w:t>Pour les objets perdus ou rejetés, trois catégories s'appliquent à la fréquence à laquelle cela se produit : parfois (moins d'une fois par semaine ou par mois), toutes les semaines (voire plusieurs fois par semaine) et tous les jours.</w:t>
      </w:r>
    </w:p>
    <w:p w14:paraId="733043B1" w14:textId="77777777" w:rsidR="00727B32" w:rsidRPr="00B21EAA" w:rsidRDefault="003B0746" w:rsidP="00885461">
      <w:pPr>
        <w:jc w:val="both"/>
      </w:pPr>
      <w:r w:rsidRPr="00B21EAA">
        <w:t>La colonne « C</w:t>
      </w:r>
      <w:r w:rsidR="00A97F00" w:rsidRPr="00B21EAA">
        <w:t>onservés » fait référence à la manière dont les déchets sont conservés avant leur débarquement : non incinérés ou incinérés.</w:t>
      </w:r>
    </w:p>
    <w:p w14:paraId="1DA1E586" w14:textId="77777777" w:rsidR="00F93000" w:rsidRPr="00B21EAA" w:rsidRDefault="00727B32" w:rsidP="00885461">
      <w:pPr>
        <w:jc w:val="both"/>
      </w:pPr>
      <w:r w:rsidRPr="00B21EAA">
        <w:t>Dans le cas d'inquiétudes ou de problèmes particuliers, veuillez les noter avec précision dans le compte rendu de campagne.</w:t>
      </w:r>
    </w:p>
    <w:p w14:paraId="66EF01D8" w14:textId="77777777" w:rsidR="00F93000" w:rsidRPr="00B21EAA" w:rsidRDefault="00885461" w:rsidP="00F93000">
      <w:pPr>
        <w:shd w:val="clear" w:color="auto" w:fill="BFBFBF" w:themeFill="background1" w:themeFillShade="BF"/>
        <w:jc w:val="both"/>
        <w:rPr>
          <w:b/>
          <w:sz w:val="24"/>
          <w:szCs w:val="24"/>
        </w:rPr>
      </w:pPr>
      <w:r w:rsidRPr="00B21EAA">
        <w:rPr>
          <w:b/>
          <w:sz w:val="24"/>
        </w:rPr>
        <w:t>Formulaire</w:t>
      </w:r>
      <w:r w:rsidRPr="00B21EAA">
        <w:rPr>
          <w:sz w:val="24"/>
        </w:rPr>
        <w:t xml:space="preserve"> </w:t>
      </w:r>
      <w:r w:rsidRPr="00B21EAA">
        <w:rPr>
          <w:b/>
          <w:sz w:val="24"/>
        </w:rPr>
        <w:t>–</w:t>
      </w:r>
      <w:r w:rsidRPr="00B21EAA">
        <w:rPr>
          <w:sz w:val="24"/>
        </w:rPr>
        <w:t xml:space="preserve"> </w:t>
      </w:r>
      <w:r w:rsidRPr="00B21EAA">
        <w:rPr>
          <w:b/>
          <w:sz w:val="24"/>
        </w:rPr>
        <w:t>Observation visuelle de pêche INN</w:t>
      </w:r>
    </w:p>
    <w:p w14:paraId="7A26B633" w14:textId="77777777" w:rsidR="00727B32" w:rsidRPr="00B21EAA" w:rsidRDefault="00727B32" w:rsidP="00885461">
      <w:pPr>
        <w:jc w:val="both"/>
      </w:pPr>
      <w:r w:rsidRPr="00B21EAA">
        <w:t xml:space="preserve">L'observateur relève sur ce formulaire les observations de navires, de déchets ou d'engins de pêche non identifiés, ou de navires susceptibles de mener des activités de pêche illicite, non déclarée et non réglementée (INN). N'inclure que les observations et les détails constatés personnellement. C'est au navire qu'il incombe de signaler toute observation de pêche INN au secrétariat dès que possible, néanmoins les informations recueillies par les observateurs peuvent aussi être importantes, notamment des photos supplémentaires et des commentaires sur l'apparence et les activités du navire. </w:t>
      </w:r>
    </w:p>
    <w:p w14:paraId="3A28B099" w14:textId="77777777" w:rsidR="00214AB0" w:rsidRPr="00B21EAA" w:rsidRDefault="00727B32" w:rsidP="00885461">
      <w:pPr>
        <w:jc w:val="both"/>
      </w:pPr>
      <w:r w:rsidRPr="00B21EAA">
        <w:t>Donner des détails sur chaque engin ou navire observé en suivant les instructions fournies dans le formulaire. Si nécessaire, fournir une description plus détaillée dans le compte rendu de campagne, avec photos le cas échéant. Si un navire est observé plusieurs fois dans une même journée, remplir un formulaire à chaque fois. Le nom du navire, son indicatif d'appel et son pavillon sont obtenus par observation visuelle du navire ou par contact radio établi avec celui-ci (il convient de déclarer la source de ces informations). S'il s'agit de filets maillants récupérés, fournir les dimensions du maillage.</w:t>
      </w:r>
    </w:p>
    <w:p w14:paraId="460BB0FA" w14:textId="77777777" w:rsidR="00E70175" w:rsidRDefault="00E70175" w:rsidP="00885461">
      <w:pPr>
        <w:jc w:val="both"/>
        <w:rPr>
          <w:b/>
          <w:sz w:val="24"/>
        </w:rPr>
      </w:pPr>
    </w:p>
    <w:p w14:paraId="49914707" w14:textId="77777777" w:rsidR="005854B0" w:rsidRPr="00B21EAA" w:rsidRDefault="00245B32" w:rsidP="00885461">
      <w:pPr>
        <w:jc w:val="both"/>
        <w:rPr>
          <w:b/>
          <w:sz w:val="24"/>
          <w:szCs w:val="24"/>
        </w:rPr>
      </w:pPr>
      <w:r w:rsidRPr="00B21EAA">
        <w:rPr>
          <w:b/>
          <w:sz w:val="24"/>
        </w:rPr>
        <w:t>Références</w:t>
      </w:r>
    </w:p>
    <w:p w14:paraId="655EBA12" w14:textId="77777777" w:rsidR="005854B0" w:rsidRPr="00B21EAA" w:rsidRDefault="00622C18" w:rsidP="00622C18">
      <w:pPr>
        <w:jc w:val="both"/>
        <w:rPr>
          <w:rFonts w:cstheme="minorHAnsi"/>
        </w:rPr>
      </w:pPr>
      <w:r w:rsidRPr="00B21EAA">
        <w:rPr>
          <w:rFonts w:cstheme="minorHAnsi"/>
        </w:rPr>
        <w:t xml:space="preserve">CCAMLR. 1996. </w:t>
      </w:r>
      <w:r w:rsidRPr="00B21EAA">
        <w:rPr>
          <w:rFonts w:cstheme="minorHAnsi"/>
          <w:i/>
        </w:rPr>
        <w:t xml:space="preserve">Pêcher en mer, pas en l'air. Comment éviter la capture accidentelle d'oiseaux de mer dans les opérations de pêche à la palangre. </w:t>
      </w:r>
      <w:r w:rsidRPr="00B21EAA">
        <w:rPr>
          <w:rFonts w:cstheme="minorHAnsi"/>
        </w:rPr>
        <w:t>CCAMLR, Hobart, Australie : 46 pp.</w:t>
      </w:r>
    </w:p>
    <w:sectPr w:rsidR="005854B0" w:rsidRPr="00B21EAA" w:rsidSect="00D76D8A">
      <w:footerReference w:type="even" r:id="rId15"/>
      <w:footerReference w:type="default" r:id="rId16"/>
      <w:pgSz w:w="11906" w:h="16838"/>
      <w:pgMar w:top="114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B8A0" w14:textId="77777777" w:rsidR="003E6B07" w:rsidRDefault="003E6B07" w:rsidP="003E6B07">
      <w:pPr>
        <w:spacing w:after="0" w:line="240" w:lineRule="auto"/>
      </w:pPr>
      <w:r>
        <w:separator/>
      </w:r>
    </w:p>
  </w:endnote>
  <w:endnote w:type="continuationSeparator" w:id="0">
    <w:p w14:paraId="7347F34F" w14:textId="77777777" w:rsidR="003E6B07" w:rsidRDefault="003E6B07" w:rsidP="003E6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556017"/>
      <w:docPartObj>
        <w:docPartGallery w:val="Page Numbers (Bottom of Page)"/>
        <w:docPartUnique/>
      </w:docPartObj>
    </w:sdtPr>
    <w:sdtEndPr>
      <w:rPr>
        <w:noProof/>
        <w:sz w:val="20"/>
      </w:rPr>
    </w:sdtEndPr>
    <w:sdtContent>
      <w:p w14:paraId="0FECAF1E" w14:textId="77777777" w:rsidR="003E6B07" w:rsidRPr="003E6B07" w:rsidRDefault="003E6B07">
        <w:pPr>
          <w:pStyle w:val="Footer"/>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D361EC">
          <w:rPr>
            <w:noProof/>
            <w:sz w:val="20"/>
          </w:rPr>
          <w:t>6</w:t>
        </w:r>
        <w:r w:rsidRPr="003E6B07">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793635"/>
      <w:docPartObj>
        <w:docPartGallery w:val="Page Numbers (Bottom of Page)"/>
        <w:docPartUnique/>
      </w:docPartObj>
    </w:sdtPr>
    <w:sdtEndPr>
      <w:rPr>
        <w:noProof/>
        <w:sz w:val="20"/>
      </w:rPr>
    </w:sdtEndPr>
    <w:sdtContent>
      <w:p w14:paraId="4C6FE9D0" w14:textId="77777777" w:rsidR="003E6B07" w:rsidRPr="003E6B07" w:rsidRDefault="003E6B07" w:rsidP="003E6B07">
        <w:pPr>
          <w:pStyle w:val="Footer"/>
          <w:jc w:val="right"/>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D361EC">
          <w:rPr>
            <w:noProof/>
            <w:sz w:val="20"/>
          </w:rPr>
          <w:t>7</w:t>
        </w:r>
        <w:r w:rsidRPr="003E6B0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9E9CC" w14:textId="77777777" w:rsidR="003E6B07" w:rsidRDefault="003E6B07" w:rsidP="003E6B07">
      <w:pPr>
        <w:spacing w:after="0" w:line="240" w:lineRule="auto"/>
      </w:pPr>
      <w:r>
        <w:separator/>
      </w:r>
    </w:p>
  </w:footnote>
  <w:footnote w:type="continuationSeparator" w:id="0">
    <w:p w14:paraId="189542F5" w14:textId="77777777" w:rsidR="003E6B07" w:rsidRDefault="003E6B07" w:rsidP="003E6B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384B"/>
    <w:multiLevelType w:val="hybridMultilevel"/>
    <w:tmpl w:val="BA946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833F66"/>
    <w:multiLevelType w:val="hybridMultilevel"/>
    <w:tmpl w:val="C168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1E7EF8"/>
    <w:multiLevelType w:val="hybridMultilevel"/>
    <w:tmpl w:val="97AA0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FA6A4F"/>
    <w:multiLevelType w:val="hybridMultilevel"/>
    <w:tmpl w:val="4F18B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5" w15:restartNumberingAfterBreak="0">
    <w:nsid w:val="2CED3F66"/>
    <w:multiLevelType w:val="hybridMultilevel"/>
    <w:tmpl w:val="E934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E44BF8"/>
    <w:multiLevelType w:val="hybridMultilevel"/>
    <w:tmpl w:val="3902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391EF5"/>
    <w:multiLevelType w:val="hybridMultilevel"/>
    <w:tmpl w:val="A3F68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985CD3"/>
    <w:multiLevelType w:val="hybridMultilevel"/>
    <w:tmpl w:val="1C7638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B462798"/>
    <w:multiLevelType w:val="hybridMultilevel"/>
    <w:tmpl w:val="EAE85F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C2143BF"/>
    <w:multiLevelType w:val="hybridMultilevel"/>
    <w:tmpl w:val="55EA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87420600">
    <w:abstractNumId w:val="6"/>
  </w:num>
  <w:num w:numId="2" w16cid:durableId="1640453117">
    <w:abstractNumId w:val="7"/>
  </w:num>
  <w:num w:numId="3" w16cid:durableId="1142695485">
    <w:abstractNumId w:val="2"/>
  </w:num>
  <w:num w:numId="4" w16cid:durableId="207032346">
    <w:abstractNumId w:val="1"/>
  </w:num>
  <w:num w:numId="5" w16cid:durableId="1375931659">
    <w:abstractNumId w:val="5"/>
  </w:num>
  <w:num w:numId="6" w16cid:durableId="259290459">
    <w:abstractNumId w:val="10"/>
  </w:num>
  <w:num w:numId="7" w16cid:durableId="338967123">
    <w:abstractNumId w:val="9"/>
  </w:num>
  <w:num w:numId="8" w16cid:durableId="657223415">
    <w:abstractNumId w:val="0"/>
  </w:num>
  <w:num w:numId="9" w16cid:durableId="1971587896">
    <w:abstractNumId w:val="8"/>
  </w:num>
  <w:num w:numId="10" w16cid:durableId="1280143860">
    <w:abstractNumId w:val="4"/>
  </w:num>
  <w:num w:numId="11" w16cid:durableId="14970647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9E3"/>
    <w:rsid w:val="00030B27"/>
    <w:rsid w:val="00041A6F"/>
    <w:rsid w:val="00086CB2"/>
    <w:rsid w:val="00087507"/>
    <w:rsid w:val="00095A81"/>
    <w:rsid w:val="00096F68"/>
    <w:rsid w:val="00136944"/>
    <w:rsid w:val="00200951"/>
    <w:rsid w:val="00214AB0"/>
    <w:rsid w:val="00245B32"/>
    <w:rsid w:val="0027123F"/>
    <w:rsid w:val="002753CC"/>
    <w:rsid w:val="002964B7"/>
    <w:rsid w:val="002E0560"/>
    <w:rsid w:val="00395863"/>
    <w:rsid w:val="003B0746"/>
    <w:rsid w:val="003D1295"/>
    <w:rsid w:val="003D32A1"/>
    <w:rsid w:val="003E6B07"/>
    <w:rsid w:val="003F0FDD"/>
    <w:rsid w:val="003F6C43"/>
    <w:rsid w:val="00422F87"/>
    <w:rsid w:val="004A1D06"/>
    <w:rsid w:val="004B2B35"/>
    <w:rsid w:val="004D6A4A"/>
    <w:rsid w:val="00536706"/>
    <w:rsid w:val="005854B0"/>
    <w:rsid w:val="005C08EE"/>
    <w:rsid w:val="00622C18"/>
    <w:rsid w:val="00645048"/>
    <w:rsid w:val="006478AF"/>
    <w:rsid w:val="0066150C"/>
    <w:rsid w:val="006A09DF"/>
    <w:rsid w:val="006D3075"/>
    <w:rsid w:val="00727B32"/>
    <w:rsid w:val="00753E33"/>
    <w:rsid w:val="00755245"/>
    <w:rsid w:val="00795F4A"/>
    <w:rsid w:val="007B6E9B"/>
    <w:rsid w:val="007E55B4"/>
    <w:rsid w:val="007F000C"/>
    <w:rsid w:val="00816EB0"/>
    <w:rsid w:val="00885461"/>
    <w:rsid w:val="008A7D5B"/>
    <w:rsid w:val="008B0053"/>
    <w:rsid w:val="008D1653"/>
    <w:rsid w:val="00911159"/>
    <w:rsid w:val="009475BD"/>
    <w:rsid w:val="00960D32"/>
    <w:rsid w:val="0097179B"/>
    <w:rsid w:val="009C2189"/>
    <w:rsid w:val="009C4028"/>
    <w:rsid w:val="009C5C17"/>
    <w:rsid w:val="009D30F3"/>
    <w:rsid w:val="009D625D"/>
    <w:rsid w:val="009F71E9"/>
    <w:rsid w:val="00A43CB9"/>
    <w:rsid w:val="00A46D02"/>
    <w:rsid w:val="00A75A4F"/>
    <w:rsid w:val="00A97F00"/>
    <w:rsid w:val="00AF1E2F"/>
    <w:rsid w:val="00B21EAA"/>
    <w:rsid w:val="00B32497"/>
    <w:rsid w:val="00BD49C8"/>
    <w:rsid w:val="00C61AF0"/>
    <w:rsid w:val="00C93CD7"/>
    <w:rsid w:val="00C96186"/>
    <w:rsid w:val="00CC32B1"/>
    <w:rsid w:val="00D06C35"/>
    <w:rsid w:val="00D15A1A"/>
    <w:rsid w:val="00D33C47"/>
    <w:rsid w:val="00D361EC"/>
    <w:rsid w:val="00D61A1C"/>
    <w:rsid w:val="00D76D8A"/>
    <w:rsid w:val="00D92E6F"/>
    <w:rsid w:val="00DC5E60"/>
    <w:rsid w:val="00DD2989"/>
    <w:rsid w:val="00E13B45"/>
    <w:rsid w:val="00E70175"/>
    <w:rsid w:val="00F14B15"/>
    <w:rsid w:val="00F93000"/>
    <w:rsid w:val="00FC0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A76EEA"/>
  <w15:docId w15:val="{52B3EA63-1F57-4D24-910A-D1E93BCC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FDD"/>
    <w:rPr>
      <w:rFonts w:ascii="Tahoma" w:hAnsi="Tahoma" w:cs="Tahoma"/>
      <w:sz w:val="16"/>
      <w:szCs w:val="16"/>
    </w:rPr>
  </w:style>
  <w:style w:type="paragraph" w:styleId="ListParagraph">
    <w:name w:val="List Paragraph"/>
    <w:basedOn w:val="Normal"/>
    <w:uiPriority w:val="34"/>
    <w:qFormat/>
    <w:rsid w:val="00AF1E2F"/>
    <w:pPr>
      <w:ind w:left="720"/>
      <w:contextualSpacing/>
    </w:pPr>
  </w:style>
  <w:style w:type="character" w:styleId="CommentReference">
    <w:name w:val="annotation reference"/>
    <w:basedOn w:val="DefaultParagraphFont"/>
    <w:uiPriority w:val="99"/>
    <w:semiHidden/>
    <w:unhideWhenUsed/>
    <w:rsid w:val="00A46D02"/>
    <w:rPr>
      <w:sz w:val="16"/>
      <w:szCs w:val="16"/>
    </w:rPr>
  </w:style>
  <w:style w:type="paragraph" w:styleId="CommentText">
    <w:name w:val="annotation text"/>
    <w:basedOn w:val="Normal"/>
    <w:link w:val="CommentTextChar"/>
    <w:uiPriority w:val="99"/>
    <w:semiHidden/>
    <w:unhideWhenUsed/>
    <w:rsid w:val="00A46D02"/>
    <w:pPr>
      <w:spacing w:line="240" w:lineRule="auto"/>
    </w:pPr>
    <w:rPr>
      <w:sz w:val="20"/>
      <w:szCs w:val="20"/>
    </w:rPr>
  </w:style>
  <w:style w:type="character" w:customStyle="1" w:styleId="CommentTextChar">
    <w:name w:val="Comment Text Char"/>
    <w:basedOn w:val="DefaultParagraphFont"/>
    <w:link w:val="CommentText"/>
    <w:uiPriority w:val="99"/>
    <w:semiHidden/>
    <w:rsid w:val="00A46D02"/>
    <w:rPr>
      <w:sz w:val="20"/>
      <w:szCs w:val="20"/>
    </w:rPr>
  </w:style>
  <w:style w:type="paragraph" w:styleId="CommentSubject">
    <w:name w:val="annotation subject"/>
    <w:basedOn w:val="CommentText"/>
    <w:next w:val="CommentText"/>
    <w:link w:val="CommentSubjectChar"/>
    <w:uiPriority w:val="99"/>
    <w:semiHidden/>
    <w:unhideWhenUsed/>
    <w:rsid w:val="00A46D02"/>
    <w:rPr>
      <w:b/>
      <w:bCs/>
    </w:rPr>
  </w:style>
  <w:style w:type="character" w:customStyle="1" w:styleId="CommentSubjectChar">
    <w:name w:val="Comment Subject Char"/>
    <w:basedOn w:val="CommentTextChar"/>
    <w:link w:val="CommentSubject"/>
    <w:uiPriority w:val="99"/>
    <w:semiHidden/>
    <w:rsid w:val="00A46D02"/>
    <w:rPr>
      <w:b/>
      <w:bCs/>
      <w:sz w:val="20"/>
      <w:szCs w:val="20"/>
    </w:rPr>
  </w:style>
  <w:style w:type="character" w:styleId="Hyperlink">
    <w:name w:val="Hyperlink"/>
    <w:basedOn w:val="DefaultParagraphFont"/>
    <w:uiPriority w:val="99"/>
    <w:unhideWhenUsed/>
    <w:rsid w:val="003D32A1"/>
    <w:rPr>
      <w:color w:val="0000FF" w:themeColor="hyperlink"/>
      <w:u w:val="single"/>
    </w:rPr>
  </w:style>
  <w:style w:type="character" w:styleId="UnresolvedMention">
    <w:name w:val="Unresolved Mention"/>
    <w:basedOn w:val="DefaultParagraphFont"/>
    <w:uiPriority w:val="99"/>
    <w:semiHidden/>
    <w:unhideWhenUsed/>
    <w:rsid w:val="003D32A1"/>
    <w:rPr>
      <w:color w:val="808080"/>
      <w:shd w:val="clear" w:color="auto" w:fill="E6E6E6"/>
    </w:rPr>
  </w:style>
  <w:style w:type="character" w:styleId="FollowedHyperlink">
    <w:name w:val="FollowedHyperlink"/>
    <w:basedOn w:val="DefaultParagraphFont"/>
    <w:uiPriority w:val="99"/>
    <w:semiHidden/>
    <w:unhideWhenUsed/>
    <w:rsid w:val="009D625D"/>
    <w:rPr>
      <w:color w:val="800080" w:themeColor="followedHyperlink"/>
      <w:u w:val="single"/>
    </w:rPr>
  </w:style>
  <w:style w:type="paragraph" w:styleId="Header">
    <w:name w:val="header"/>
    <w:basedOn w:val="Normal"/>
    <w:link w:val="HeaderChar"/>
    <w:uiPriority w:val="99"/>
    <w:unhideWhenUsed/>
    <w:rsid w:val="003E6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6B07"/>
  </w:style>
  <w:style w:type="paragraph" w:styleId="Footer">
    <w:name w:val="footer"/>
    <w:basedOn w:val="Normal"/>
    <w:link w:val="FooterChar"/>
    <w:uiPriority w:val="99"/>
    <w:unhideWhenUsed/>
    <w:rsid w:val="003E6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18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camlr.org/node/75724" TargetMode="Externa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2436</Words>
  <Characters>13889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Isaac Forster</cp:lastModifiedBy>
  <cp:revision>3</cp:revision>
  <dcterms:created xsi:type="dcterms:W3CDTF">2021-11-16T21:44:00Z</dcterms:created>
  <dcterms:modified xsi:type="dcterms:W3CDTF">2022-09-30T07:29:00Z</dcterms:modified>
</cp:coreProperties>
</file>